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0E28" w14:textId="4F9A6021" w:rsidR="001A5939" w:rsidRPr="008C5BDD" w:rsidRDefault="00BF4AF2" w:rsidP="008C5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TERMO DE REFERÊNCIA</w:t>
      </w:r>
    </w:p>
    <w:p w14:paraId="65DEA011" w14:textId="1670774A" w:rsidR="00BF4AF2" w:rsidRPr="008C5BDD" w:rsidRDefault="00BF4AF2" w:rsidP="008C5B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Considerando as disposições da Lei n° 14.133/2021 e suas posteriores alterações e dos Decretos municipais n</w:t>
      </w:r>
      <w:r w:rsidRPr="008C5BD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C5BDD">
        <w:rPr>
          <w:rFonts w:ascii="Times New Roman" w:hAnsi="Times New Roman" w:cs="Times New Roman"/>
          <w:sz w:val="24"/>
          <w:szCs w:val="24"/>
        </w:rPr>
        <w:t xml:space="preserve"> 936/2022, bem como conforme exposto e fundamentado no Estudo Técnico Prelimina</w:t>
      </w:r>
      <w:r w:rsidR="000D6CC7" w:rsidRPr="008C5BDD">
        <w:rPr>
          <w:rFonts w:ascii="Times New Roman" w:hAnsi="Times New Roman" w:cs="Times New Roman"/>
          <w:sz w:val="24"/>
          <w:szCs w:val="24"/>
        </w:rPr>
        <w:t xml:space="preserve">r, </w:t>
      </w:r>
      <w:r w:rsidRPr="008C5BDD">
        <w:rPr>
          <w:rFonts w:ascii="Times New Roman" w:hAnsi="Times New Roman" w:cs="Times New Roman"/>
          <w:sz w:val="24"/>
          <w:szCs w:val="24"/>
        </w:rPr>
        <w:t>ante ao interesse público</w:t>
      </w:r>
      <w:r w:rsidR="006C0B01" w:rsidRPr="008C5BDD">
        <w:rPr>
          <w:rFonts w:ascii="Times New Roman" w:hAnsi="Times New Roman" w:cs="Times New Roman"/>
          <w:sz w:val="24"/>
          <w:szCs w:val="24"/>
        </w:rPr>
        <w:t>,</w:t>
      </w:r>
      <w:r w:rsidRPr="008C5BDD">
        <w:rPr>
          <w:rFonts w:ascii="Times New Roman" w:hAnsi="Times New Roman" w:cs="Times New Roman"/>
          <w:sz w:val="24"/>
          <w:szCs w:val="24"/>
        </w:rPr>
        <w:t xml:space="preserve"> a Fundação Estatal de Saúde de Maricá – FEMAR, realizará processo licitatório através </w:t>
      </w:r>
      <w:r w:rsidR="000A6311" w:rsidRPr="008C5BDD">
        <w:rPr>
          <w:rFonts w:ascii="Times New Roman" w:hAnsi="Times New Roman" w:cs="Times New Roman"/>
          <w:sz w:val="24"/>
          <w:szCs w:val="24"/>
        </w:rPr>
        <w:t>da</w:t>
      </w:r>
      <w:r w:rsidRPr="008C5BDD">
        <w:rPr>
          <w:rFonts w:ascii="Times New Roman" w:hAnsi="Times New Roman" w:cs="Times New Roman"/>
          <w:sz w:val="24"/>
          <w:szCs w:val="24"/>
        </w:rPr>
        <w:t xml:space="preserve"> modalidade Pregão Eletrônico</w:t>
      </w:r>
      <w:r w:rsidR="000A6311" w:rsidRPr="008C5BDD">
        <w:rPr>
          <w:rFonts w:ascii="Times New Roman" w:hAnsi="Times New Roman" w:cs="Times New Roman"/>
          <w:sz w:val="24"/>
          <w:szCs w:val="24"/>
        </w:rPr>
        <w:t xml:space="preserve">, </w:t>
      </w:r>
      <w:r w:rsidRPr="008C5BDD">
        <w:rPr>
          <w:rFonts w:ascii="Times New Roman" w:hAnsi="Times New Roman" w:cs="Times New Roman"/>
          <w:sz w:val="24"/>
          <w:szCs w:val="24"/>
        </w:rPr>
        <w:t xml:space="preserve">objetivando </w:t>
      </w:r>
      <w:r w:rsidR="000A6311" w:rsidRPr="008C5BDD">
        <w:rPr>
          <w:rFonts w:ascii="Times New Roman" w:hAnsi="Times New Roman" w:cs="Times New Roman"/>
          <w:sz w:val="24"/>
          <w:szCs w:val="24"/>
        </w:rPr>
        <w:t xml:space="preserve">a </w:t>
      </w:r>
      <w:r w:rsidR="000D6CC7" w:rsidRPr="008C5BDD">
        <w:rPr>
          <w:rFonts w:ascii="Times New Roman" w:hAnsi="Times New Roman" w:cs="Times New Roman"/>
          <w:b/>
          <w:bCs/>
          <w:sz w:val="24"/>
          <w:szCs w:val="24"/>
        </w:rPr>
        <w:t>LOCAÇÃO</w:t>
      </w:r>
      <w:r w:rsidR="000A6311" w:rsidRPr="008C5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BDD">
        <w:rPr>
          <w:rFonts w:ascii="Times New Roman" w:hAnsi="Times New Roman" w:cs="Times New Roman"/>
          <w:b/>
          <w:bCs/>
          <w:sz w:val="24"/>
          <w:szCs w:val="24"/>
        </w:rPr>
        <w:t>DE EQUIPAMENTO DE ULTRASSONOGRAFIA (US</w:t>
      </w:r>
      <w:r w:rsidR="003C18B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8C5BDD">
        <w:rPr>
          <w:rFonts w:ascii="Times New Roman" w:hAnsi="Times New Roman" w:cs="Times New Roman"/>
          <w:b/>
          <w:bCs/>
          <w:sz w:val="24"/>
          <w:szCs w:val="24"/>
        </w:rPr>
        <w:t>) PORTÁTIL</w:t>
      </w:r>
      <w:r w:rsidRPr="008C5BDD">
        <w:rPr>
          <w:rFonts w:ascii="Times New Roman" w:hAnsi="Times New Roman" w:cs="Times New Roman"/>
          <w:sz w:val="24"/>
          <w:szCs w:val="24"/>
        </w:rPr>
        <w:t>, a fim de atender a demanda das unidades geridas pela Fundação Estatal de Saúde de Maricá (FEMAR).</w:t>
      </w:r>
    </w:p>
    <w:p w14:paraId="28E2D7AE" w14:textId="3DA5D245" w:rsidR="00BF4AF2" w:rsidRPr="008C5BDD" w:rsidRDefault="00BF4AF2" w:rsidP="008C5BDD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DAS CONDIÇÕES GERAIS DA CONTRATAÇÃO</w:t>
      </w:r>
    </w:p>
    <w:p w14:paraId="324DBFFC" w14:textId="554A0E61" w:rsidR="00BF4AF2" w:rsidRPr="008C5BDD" w:rsidRDefault="00BF4AF2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sz w:val="24"/>
          <w:szCs w:val="24"/>
        </w:rPr>
        <w:t xml:space="preserve">O presente Termo de Referência tem por objeto a </w:t>
      </w:r>
      <w:r w:rsidR="000A6311" w:rsidRPr="008C5BDD">
        <w:rPr>
          <w:rFonts w:ascii="Times New Roman" w:eastAsia="Arial" w:hAnsi="Times New Roman" w:cs="Times New Roman"/>
          <w:sz w:val="24"/>
          <w:szCs w:val="24"/>
        </w:rPr>
        <w:t>provisão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de equipamento de ultrassonografia (USG) portátil, a fim de atender a demanda das unidades geridas pela Fundação Estatal de Saúde de Maricá (FEMAR), nos termos da tabela abaixo, conforme condições e exigências estabelecidas neste instrumento.</w:t>
      </w:r>
    </w:p>
    <w:p w14:paraId="4D7F7595" w14:textId="363BBF11" w:rsidR="00BF4AF2" w:rsidRPr="008C5BDD" w:rsidRDefault="00BF4AF2" w:rsidP="008C5BDD">
      <w:pPr>
        <w:pStyle w:val="PargrafodaLista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Tabela 1</w:t>
      </w:r>
      <w:r w:rsidRPr="008C5BDD">
        <w:rPr>
          <w:rFonts w:ascii="Times New Roman" w:hAnsi="Times New Roman" w:cs="Times New Roman"/>
          <w:sz w:val="24"/>
          <w:szCs w:val="24"/>
        </w:rPr>
        <w:t xml:space="preserve"> – Descrição do objeto</w:t>
      </w: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963"/>
        <w:gridCol w:w="6661"/>
        <w:gridCol w:w="909"/>
        <w:gridCol w:w="823"/>
      </w:tblGrid>
      <w:tr w:rsidR="000870DA" w:rsidRPr="008C5BDD" w14:paraId="16024666" w14:textId="6B4268A6" w:rsidTr="000870DA">
        <w:tc>
          <w:tcPr>
            <w:tcW w:w="963" w:type="dxa"/>
            <w:shd w:val="clear" w:color="auto" w:fill="B5D8E9"/>
            <w:vAlign w:val="center"/>
          </w:tcPr>
          <w:p w14:paraId="73CF1527" w14:textId="77777777" w:rsidR="000870DA" w:rsidRPr="008C5BDD" w:rsidRDefault="000870DA" w:rsidP="008C5BDD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C5B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661" w:type="dxa"/>
            <w:shd w:val="clear" w:color="auto" w:fill="B5D8E9"/>
            <w:vAlign w:val="center"/>
          </w:tcPr>
          <w:p w14:paraId="37CB86E1" w14:textId="77777777" w:rsidR="000870DA" w:rsidRPr="008C5BDD" w:rsidRDefault="000870DA" w:rsidP="008C5BDD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C5B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909" w:type="dxa"/>
            <w:shd w:val="clear" w:color="auto" w:fill="B5D8E9"/>
            <w:vAlign w:val="center"/>
          </w:tcPr>
          <w:p w14:paraId="422671E7" w14:textId="7EFDCE7A" w:rsidR="000870DA" w:rsidRPr="008C5BDD" w:rsidRDefault="000870DA" w:rsidP="008C5BDD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C5B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823" w:type="dxa"/>
            <w:shd w:val="clear" w:color="auto" w:fill="B5D8E9"/>
            <w:vAlign w:val="center"/>
          </w:tcPr>
          <w:p w14:paraId="6DB59134" w14:textId="4C47384E" w:rsidR="000870DA" w:rsidRPr="008C5BDD" w:rsidRDefault="000870DA" w:rsidP="008C5BDD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8C5BD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QTD</w:t>
            </w:r>
          </w:p>
        </w:tc>
      </w:tr>
      <w:tr w:rsidR="000870DA" w:rsidRPr="008C5BDD" w14:paraId="37C88930" w14:textId="69905D1E" w:rsidTr="000870DA">
        <w:tc>
          <w:tcPr>
            <w:tcW w:w="963" w:type="dxa"/>
            <w:vAlign w:val="center"/>
          </w:tcPr>
          <w:p w14:paraId="705376AB" w14:textId="5A530600" w:rsidR="000870DA" w:rsidRPr="008C5BDD" w:rsidRDefault="000870DA" w:rsidP="008C5BDD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5B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1" w:type="dxa"/>
            <w:vAlign w:val="center"/>
          </w:tcPr>
          <w:p w14:paraId="79CF01F3" w14:textId="77777777" w:rsidR="006546E8" w:rsidRPr="006546E8" w:rsidRDefault="006546E8" w:rsidP="006546E8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ULTRASSONOGRAFIA (USG) PORTÁTIL</w:t>
            </w:r>
          </w:p>
          <w:p w14:paraId="158AAE02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Peso total máximo de 9kg para uso em locais onde seja necessário o acesso ao paciente e realização de exames com alta qualidade técnica dentro e fora da sala de exames;</w:t>
            </w:r>
          </w:p>
          <w:p w14:paraId="04423768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Bateria recarregável para utilização em exames sem que seja necessária a conexão à rede elétrica;</w:t>
            </w:r>
          </w:p>
          <w:p w14:paraId="7B54387D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Monitor LC ou LED integrado de, no mínimo, 10”;</w:t>
            </w:r>
          </w:p>
          <w:p w14:paraId="69081DF3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Bivolt automático (sem necessitar de transformador);</w:t>
            </w:r>
          </w:p>
          <w:p w14:paraId="7771EDEF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Teclado alfanumérico estilo laptop ou possibilidade de interação, configuração e análise de exames na tela de toque;</w:t>
            </w:r>
          </w:p>
          <w:p w14:paraId="68C1D0EC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Pós-processamento de imagens: pelo menos 1.024 canais digitais de processamento;</w:t>
            </w:r>
          </w:p>
          <w:p w14:paraId="6E78EB89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256 escalas de cinza;</w:t>
            </w:r>
          </w:p>
          <w:p w14:paraId="2FF0E600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Geração de imagem em Modo M, B, B/B, B/M;</w:t>
            </w:r>
          </w:p>
          <w:p w14:paraId="47B451F6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 xml:space="preserve">Geração de imagens em Modo Doppler color, contínuo e pulsátil; </w:t>
            </w:r>
          </w:p>
          <w:p w14:paraId="6BB91A8A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Geração de imagens em Modo Doppler tecidual espectral e colorido;</w:t>
            </w:r>
          </w:p>
          <w:p w14:paraId="373C079C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Software que permita ajustar o cursor do Modo M utilizado em qualquer angulação em tempo real (Modo M anatômico);</w:t>
            </w:r>
          </w:p>
          <w:p w14:paraId="14FCBFAB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Software que permita comparar o Modo B ao lado da respectiva imagem com modo Color em tempo real (Modo B/Color);</w:t>
            </w:r>
          </w:p>
          <w:p w14:paraId="3F51CE59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Segunda Harmônica Tecidual;</w:t>
            </w:r>
          </w:p>
          <w:p w14:paraId="40661442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Harmônica com Inversão de Pulso;</w:t>
            </w:r>
          </w:p>
          <w:p w14:paraId="2723FF58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Protocolo de fábrica e possibilidade de definição pelo usuário de novos protocolos de imagem para personalização do equipamento;</w:t>
            </w:r>
          </w:p>
          <w:p w14:paraId="2B07A4DE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Sistema integrado ao equipamento para captura e impressão direta de imagens em impressora externa;</w:t>
            </w:r>
          </w:p>
          <w:p w14:paraId="5F4CA094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 xml:space="preserve">Capacidade para impressão direta em vídeo </w:t>
            </w:r>
            <w:proofErr w:type="spellStart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printer</w:t>
            </w:r>
            <w:proofErr w:type="spellEnd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935FE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Disco Rígido interno para arquivamento digital de dados de pacientes, imagens e medidas com, no mínimo, 500GB;</w:t>
            </w:r>
          </w:p>
          <w:p w14:paraId="71591E26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 xml:space="preserve">Gravação de imagem em </w:t>
            </w:r>
            <w:proofErr w:type="spellStart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pendrive</w:t>
            </w:r>
            <w:proofErr w:type="spellEnd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 xml:space="preserve"> (USB), incluso formato DICOM;</w:t>
            </w:r>
          </w:p>
          <w:p w14:paraId="02E67F96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Conectividade via cabo de rede;</w:t>
            </w:r>
          </w:p>
          <w:p w14:paraId="5FB940A2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Software integrado para melhor visualização da agulha e da anatomia em modo B;</w:t>
            </w:r>
          </w:p>
          <w:p w14:paraId="60F167F6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 xml:space="preserve">Software integrado para visão expandida da anatomia ou imagem panorâmica, para gerar imagens de até 60cm e capacidade para realizar medidas nestas imagens em modo B em todos os transdutores; </w:t>
            </w:r>
          </w:p>
          <w:p w14:paraId="282E226F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Software para cálculo automático da espessura íntima dos vasos;</w:t>
            </w:r>
          </w:p>
          <w:p w14:paraId="0CEBBC8B" w14:textId="77777777" w:rsidR="006546E8" w:rsidRPr="006546E8" w:rsidRDefault="006546E8" w:rsidP="006546E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CC729" w14:textId="77777777" w:rsidR="006546E8" w:rsidRPr="006546E8" w:rsidRDefault="006546E8" w:rsidP="006546E8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ACESSÓRIOS</w:t>
            </w:r>
          </w:p>
          <w:p w14:paraId="61613F3E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01 carrinho de suporte compatível com o equipamento, oferecendo segurança no transporte e ajustes ergonômicos;</w:t>
            </w:r>
          </w:p>
          <w:p w14:paraId="6AC41512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01 Transdutor Convexo Adulto 2 a 5MHz ±1MHz;</w:t>
            </w:r>
          </w:p>
          <w:p w14:paraId="7F6954C9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Transdutor Setorial adulto com frequência entre 2 a 5MHz ±1MHz;</w:t>
            </w:r>
          </w:p>
          <w:p w14:paraId="06E6AFE3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01 Transdutor Linear com frequência entre 3,5 a 12MHz ±1MHz;</w:t>
            </w:r>
          </w:p>
          <w:p w14:paraId="5AF65D85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Todos os transdutores deverão ser eletrônicos setoriais multifrequências em banda larga, com seleção automática das frequências, aceitável variação de 1(um) MHZ para mais ou menos nos limites máximo e mínimo;</w:t>
            </w:r>
          </w:p>
          <w:p w14:paraId="386EB127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O equipamento deve ser compatível com todos os transdutores acima;</w:t>
            </w:r>
          </w:p>
          <w:p w14:paraId="098EE5FC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01 maleta ou estrutura própria para o armazenamento dos transdutores enquanto fora de uso conforme especificado no manual do fabricante;</w:t>
            </w:r>
          </w:p>
          <w:p w14:paraId="4A19AC98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01 maleta para transporte do ultrassom e transdutores, podendo ser a mesma de armazenamento se assim indicado no manual;</w:t>
            </w:r>
          </w:p>
          <w:p w14:paraId="55FF17F6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Conexão e configuração com impressora em rede da Unidade;</w:t>
            </w:r>
          </w:p>
          <w:p w14:paraId="364722EB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Conexão e configuração com redes da Unidade;</w:t>
            </w:r>
          </w:p>
          <w:p w14:paraId="62135016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Porta USB;</w:t>
            </w:r>
          </w:p>
          <w:p w14:paraId="19F4371C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 xml:space="preserve">Protocolo DICOM 3.0 integrado (print, </w:t>
            </w:r>
            <w:proofErr w:type="spellStart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worklist</w:t>
            </w:r>
            <w:proofErr w:type="spellEnd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verify</w:t>
            </w:r>
            <w:proofErr w:type="spellEnd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 xml:space="preserve">, PPS, Ethernet network connection, network </w:t>
            </w:r>
            <w:proofErr w:type="spellStart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verification</w:t>
            </w:r>
            <w:proofErr w:type="spellEnd"/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8F2DBDA" w14:textId="77777777" w:rsidR="006546E8" w:rsidRPr="006546E8" w:rsidRDefault="006546E8" w:rsidP="006546E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91A41" w14:textId="77777777" w:rsidR="006546E8" w:rsidRPr="006546E8" w:rsidRDefault="006546E8" w:rsidP="006546E8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DEMAIS EXIGÊNCIAS</w:t>
            </w:r>
          </w:p>
          <w:p w14:paraId="34A10435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Registro ANVISA válido;</w:t>
            </w:r>
          </w:p>
          <w:p w14:paraId="202B41DE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Garantia 12 (doze) meses;</w:t>
            </w:r>
          </w:p>
          <w:p w14:paraId="368AA89B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Protocolo HL7;</w:t>
            </w:r>
          </w:p>
          <w:p w14:paraId="00731CAD" w14:textId="77777777" w:rsidR="006546E8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Instalação e treinamento;</w:t>
            </w:r>
          </w:p>
          <w:p w14:paraId="25A14B0A" w14:textId="40F4D2D5" w:rsidR="000870DA" w:rsidRPr="006546E8" w:rsidRDefault="006546E8" w:rsidP="006546E8">
            <w:pPr>
              <w:pStyle w:val="PargrafodaLista"/>
              <w:numPr>
                <w:ilvl w:val="0"/>
                <w:numId w:val="17"/>
              </w:numPr>
              <w:spacing w:before="0" w:after="0"/>
              <w:contextualSpacing w:val="0"/>
              <w:rPr>
                <w:rFonts w:ascii="Cambria" w:hAnsi="Cambria" w:cs="Times New Roman"/>
                <w:sz w:val="24"/>
                <w:szCs w:val="24"/>
              </w:rPr>
            </w:pPr>
            <w:r w:rsidRPr="006546E8">
              <w:rPr>
                <w:rFonts w:ascii="Times New Roman" w:hAnsi="Times New Roman" w:cs="Times New Roman"/>
                <w:sz w:val="24"/>
                <w:szCs w:val="24"/>
              </w:rPr>
              <w:t>O equipamento precisará ser instalado e o corpo técnico treinado pela CONTRATADA de acordo com a necessidade.</w:t>
            </w:r>
          </w:p>
        </w:tc>
        <w:tc>
          <w:tcPr>
            <w:tcW w:w="909" w:type="dxa"/>
            <w:vAlign w:val="center"/>
          </w:tcPr>
          <w:p w14:paraId="294325EA" w14:textId="66C86D79" w:rsidR="000870DA" w:rsidRPr="008C5BDD" w:rsidRDefault="000870DA" w:rsidP="008C5BDD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5BD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un.</w:t>
            </w:r>
          </w:p>
        </w:tc>
        <w:tc>
          <w:tcPr>
            <w:tcW w:w="823" w:type="dxa"/>
            <w:vAlign w:val="center"/>
          </w:tcPr>
          <w:p w14:paraId="62513105" w14:textId="321C9A44" w:rsidR="000870DA" w:rsidRPr="008C5BDD" w:rsidRDefault="000870DA" w:rsidP="008C5BDD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C5BDD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</w:tbl>
    <w:p w14:paraId="316C896F" w14:textId="77777777" w:rsidR="00C32EE8" w:rsidRPr="008C5BDD" w:rsidRDefault="00C32EE8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lastRenderedPageBreak/>
        <w:t>O objeto desta contratação não se enquadra como sendo de bem de luxo, conforme Decreto Municipal nº 881, de 09 de agosto de 2022.</w:t>
      </w:r>
    </w:p>
    <w:p w14:paraId="790539FD" w14:textId="581B3BA6" w:rsidR="00C32EE8" w:rsidRPr="008C5BDD" w:rsidRDefault="00C32EE8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lastRenderedPageBreak/>
        <w:t xml:space="preserve">Trata-se de </w:t>
      </w:r>
      <w:r w:rsidR="00C66C88" w:rsidRPr="002E7166">
        <w:rPr>
          <w:rFonts w:ascii="Times New Roman" w:hAnsi="Times New Roman" w:cs="Times New Roman"/>
          <w:sz w:val="24"/>
          <w:szCs w:val="24"/>
          <w:u w:val="single"/>
        </w:rPr>
        <w:t>serviço</w:t>
      </w:r>
      <w:r w:rsidR="00210BEB" w:rsidRPr="002E71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7166">
        <w:rPr>
          <w:rFonts w:ascii="Times New Roman" w:hAnsi="Times New Roman" w:cs="Times New Roman"/>
          <w:sz w:val="24"/>
          <w:szCs w:val="24"/>
          <w:u w:val="single"/>
        </w:rPr>
        <w:t>comum</w:t>
      </w:r>
      <w:r w:rsidRPr="008C5BDD">
        <w:rPr>
          <w:rFonts w:ascii="Times New Roman" w:hAnsi="Times New Roman" w:cs="Times New Roman"/>
          <w:sz w:val="24"/>
          <w:szCs w:val="24"/>
        </w:rPr>
        <w:t xml:space="preserve"> e sem fornecimento de mão de obra em regime de dedicação exclusiva, a ser contratado mediante licitação, na modalidade pregão, em sua forma eletrônica, </w:t>
      </w:r>
      <w:r w:rsidRPr="00AD285F">
        <w:rPr>
          <w:rFonts w:ascii="Times New Roman" w:hAnsi="Times New Roman" w:cs="Times New Roman"/>
          <w:sz w:val="24"/>
          <w:szCs w:val="24"/>
        </w:rPr>
        <w:t>conforme definido no Art. 6º, XIII da Lei n.º 14.133/2021, uma vez que os padrões de</w:t>
      </w:r>
      <w:r w:rsidRPr="008C5BDD">
        <w:rPr>
          <w:rFonts w:ascii="Times New Roman" w:hAnsi="Times New Roman" w:cs="Times New Roman"/>
          <w:sz w:val="24"/>
          <w:szCs w:val="24"/>
        </w:rPr>
        <w:t xml:space="preserve"> desempenho e qualidade estão objetivamente definidos, tendo como base as especificações usuais de mercado.</w:t>
      </w:r>
    </w:p>
    <w:p w14:paraId="15F4BF44" w14:textId="08B05C32" w:rsidR="00C32EE8" w:rsidRPr="008C5BDD" w:rsidRDefault="00C32EE8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O prazo de vigência da contratação é de </w:t>
      </w:r>
      <w:r w:rsidRPr="008C5BDD">
        <w:rPr>
          <w:rFonts w:ascii="Times New Roman" w:hAnsi="Times New Roman" w:cs="Times New Roman"/>
          <w:b/>
          <w:bCs/>
          <w:sz w:val="24"/>
          <w:szCs w:val="24"/>
          <w:u w:val="single"/>
        </w:rPr>
        <w:t>12 (doze) meses</w:t>
      </w:r>
      <w:r w:rsidRPr="008C5BDD">
        <w:rPr>
          <w:rFonts w:ascii="Times New Roman" w:hAnsi="Times New Roman" w:cs="Times New Roman"/>
          <w:sz w:val="24"/>
          <w:szCs w:val="24"/>
        </w:rPr>
        <w:t xml:space="preserve">, contados da assinatura do contrato, na forma do artigo 107 da Lei n° 14.133, de 2021, prorrogável por interesse das partes, até o limite de </w:t>
      </w:r>
      <w:r w:rsidRPr="008C5BDD">
        <w:rPr>
          <w:rFonts w:ascii="Times New Roman" w:hAnsi="Times New Roman" w:cs="Times New Roman"/>
          <w:b/>
          <w:bCs/>
          <w:sz w:val="24"/>
          <w:szCs w:val="24"/>
          <w:u w:val="single"/>
        </w:rPr>
        <w:t>5 (cinco) anos</w:t>
      </w:r>
      <w:r w:rsidRPr="008C5BDD">
        <w:rPr>
          <w:rFonts w:ascii="Times New Roman" w:hAnsi="Times New Roman" w:cs="Times New Roman"/>
          <w:sz w:val="24"/>
          <w:szCs w:val="24"/>
        </w:rPr>
        <w:t>, desde que haja autorização formal da autoridade competente.</w:t>
      </w:r>
    </w:p>
    <w:p w14:paraId="2C90DD36" w14:textId="4D757CA1" w:rsidR="00C32EE8" w:rsidRPr="002E7166" w:rsidRDefault="00750DA3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</w:t>
      </w:r>
      <w:r w:rsidR="00C66C88">
        <w:rPr>
          <w:rFonts w:ascii="Times New Roman" w:hAnsi="Times New Roman" w:cs="Times New Roman"/>
          <w:sz w:val="24"/>
          <w:szCs w:val="24"/>
        </w:rPr>
        <w:t xml:space="preserve"> locação</w:t>
      </w:r>
      <w:r w:rsidRPr="008C5BDD">
        <w:rPr>
          <w:rFonts w:ascii="Times New Roman" w:hAnsi="Times New Roman" w:cs="Times New Roman"/>
          <w:sz w:val="24"/>
          <w:szCs w:val="24"/>
        </w:rPr>
        <w:t xml:space="preserve"> de ultrassonografia (USG) portátil é enquadrada como </w:t>
      </w:r>
      <w:r w:rsidR="000A6311" w:rsidRPr="008C5BDD">
        <w:rPr>
          <w:rFonts w:ascii="Times New Roman" w:hAnsi="Times New Roman" w:cs="Times New Roman"/>
          <w:sz w:val="24"/>
          <w:szCs w:val="24"/>
        </w:rPr>
        <w:t>um</w:t>
      </w:r>
      <w:r w:rsidRPr="008C5BDD">
        <w:rPr>
          <w:rFonts w:ascii="Times New Roman" w:hAnsi="Times New Roman" w:cs="Times New Roman"/>
          <w:sz w:val="24"/>
          <w:szCs w:val="24"/>
        </w:rPr>
        <w:t xml:space="preserve"> </w:t>
      </w:r>
      <w:r w:rsidR="000D6CC7" w:rsidRPr="002E7166">
        <w:rPr>
          <w:rFonts w:ascii="Times New Roman" w:hAnsi="Times New Roman" w:cs="Times New Roman"/>
          <w:sz w:val="24"/>
          <w:szCs w:val="24"/>
          <w:u w:val="single"/>
        </w:rPr>
        <w:t xml:space="preserve">serviço </w:t>
      </w:r>
      <w:r w:rsidRPr="002E7166">
        <w:rPr>
          <w:rFonts w:ascii="Times New Roman" w:hAnsi="Times New Roman" w:cs="Times New Roman"/>
          <w:sz w:val="24"/>
          <w:szCs w:val="24"/>
          <w:u w:val="single"/>
        </w:rPr>
        <w:t>contínuo</w:t>
      </w:r>
      <w:r w:rsidRPr="008C5BDD">
        <w:rPr>
          <w:rFonts w:ascii="Times New Roman" w:hAnsi="Times New Roman" w:cs="Times New Roman"/>
          <w:sz w:val="24"/>
          <w:szCs w:val="24"/>
        </w:rPr>
        <w:t>, tendo em vista, que, de modo integrado, se trata de necessidade permanente</w:t>
      </w:r>
      <w:r w:rsidR="00C32EE8" w:rsidRPr="008C5BDD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C32EE8" w:rsidRPr="002E7166">
        <w:rPr>
          <w:rFonts w:ascii="Times New Roman" w:hAnsi="Times New Roman" w:cs="Times New Roman"/>
          <w:sz w:val="24"/>
          <w:szCs w:val="24"/>
        </w:rPr>
        <w:t>preconiza o art. 6º, XV da Lei nº. 14.133/2021</w:t>
      </w:r>
      <w:r w:rsidRPr="002E7166">
        <w:rPr>
          <w:rFonts w:ascii="Times New Roman" w:hAnsi="Times New Roman" w:cs="Times New Roman"/>
          <w:sz w:val="24"/>
          <w:szCs w:val="24"/>
        </w:rPr>
        <w:t>.</w:t>
      </w:r>
    </w:p>
    <w:p w14:paraId="09D57B49" w14:textId="0EA6B595" w:rsidR="00C32EE8" w:rsidRDefault="00C32EE8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O contrato oferece maior detalhamento das regras que serão aplicadas em relação à vigência da contratação.</w:t>
      </w:r>
    </w:p>
    <w:p w14:paraId="5E8C92EB" w14:textId="5A6577C1" w:rsidR="00750DA3" w:rsidRPr="008C5BDD" w:rsidRDefault="00750DA3" w:rsidP="008C5BDD">
      <w:pPr>
        <w:pStyle w:val="PargrafodaLista"/>
        <w:numPr>
          <w:ilvl w:val="0"/>
          <w:numId w:val="22"/>
        </w:numPr>
        <w:shd w:val="clear" w:color="auto" w:fill="B5D8E9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FUNDAMENTAÇÃO E DESCRIÇÃO DA NECESSIDADE DA CONTRATAÇÃO</w:t>
      </w:r>
    </w:p>
    <w:p w14:paraId="58EAF597" w14:textId="27CC2433" w:rsidR="000870DA" w:rsidRPr="008C5BDD" w:rsidRDefault="00210BEB" w:rsidP="008C5BDD">
      <w:pPr>
        <w:pStyle w:val="Nivel2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9"/>
          <w:tab w:val="left" w:pos="1154"/>
          <w:tab w:val="left" w:pos="1409"/>
          <w:tab w:val="left" w:pos="1664"/>
          <w:tab w:val="left" w:pos="1979"/>
          <w:tab w:val="left" w:pos="2234"/>
          <w:tab w:val="left" w:pos="735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DA" w:rsidRPr="008C5BDD">
        <w:rPr>
          <w:rFonts w:ascii="Times New Roman" w:hAnsi="Times New Roman" w:cs="Times New Roman"/>
          <w:sz w:val="24"/>
          <w:szCs w:val="24"/>
        </w:rPr>
        <w:t>A Fundamentação da Contratação e de seus quantitativos encontra-se pormenorizada em tópico específico dos Estudos Técnicos Preliminares, apêndice deste Termo de Referência.</w:t>
      </w:r>
    </w:p>
    <w:p w14:paraId="60EA2311" w14:textId="1B66537F" w:rsidR="0041258E" w:rsidRPr="008C5BDD" w:rsidRDefault="0041258E" w:rsidP="008C5BDD">
      <w:pPr>
        <w:pStyle w:val="PargrafodaLista"/>
        <w:numPr>
          <w:ilvl w:val="0"/>
          <w:numId w:val="22"/>
        </w:numPr>
        <w:shd w:val="clear" w:color="auto" w:fill="B5D8E9"/>
        <w:tabs>
          <w:tab w:val="left" w:pos="360"/>
        </w:tabs>
        <w:ind w:left="0" w:firstLine="0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DESCRIÇÃO DA SOLUÇÃO COMO UM TODO</w:t>
      </w:r>
    </w:p>
    <w:p w14:paraId="6C59A254" w14:textId="4947BCCC" w:rsidR="000870DA" w:rsidRPr="008C5BDD" w:rsidRDefault="00210BEB" w:rsidP="008C5BDD">
      <w:pPr>
        <w:pStyle w:val="Nivel2"/>
        <w:numPr>
          <w:ilvl w:val="1"/>
          <w:numId w:val="22"/>
        </w:numPr>
        <w:tabs>
          <w:tab w:val="left" w:pos="36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Hlk12486052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DA" w:rsidRPr="001703B5">
        <w:rPr>
          <w:rFonts w:ascii="Times New Roman" w:hAnsi="Times New Roman" w:cs="Times New Roman"/>
          <w:sz w:val="24"/>
          <w:szCs w:val="24"/>
        </w:rPr>
        <w:t xml:space="preserve">A descrição da solução como um todo encontra-se pormenorizada no item </w:t>
      </w:r>
      <w:r w:rsidR="001703B5" w:rsidRPr="001703B5">
        <w:rPr>
          <w:rFonts w:ascii="Times New Roman" w:hAnsi="Times New Roman" w:cs="Times New Roman"/>
          <w:sz w:val="24"/>
          <w:szCs w:val="24"/>
        </w:rPr>
        <w:t>5</w:t>
      </w:r>
      <w:r w:rsidR="000870DA" w:rsidRPr="001703B5">
        <w:rPr>
          <w:rFonts w:ascii="Times New Roman" w:hAnsi="Times New Roman" w:cs="Times New Roman"/>
          <w:sz w:val="24"/>
          <w:szCs w:val="24"/>
        </w:rPr>
        <w:t xml:space="preserve"> do Estudo</w:t>
      </w:r>
      <w:r w:rsidR="000870DA" w:rsidRPr="008C5BDD">
        <w:rPr>
          <w:rFonts w:ascii="Times New Roman" w:hAnsi="Times New Roman" w:cs="Times New Roman"/>
          <w:sz w:val="24"/>
          <w:szCs w:val="24"/>
        </w:rPr>
        <w:t xml:space="preserve"> Técnico Preliminar, apêndice deste Termo de Referência.</w:t>
      </w:r>
    </w:p>
    <w:bookmarkEnd w:id="0"/>
    <w:p w14:paraId="2A7A4CE1" w14:textId="32BBDE9C" w:rsidR="00540097" w:rsidRPr="008C5BDD" w:rsidRDefault="00540097" w:rsidP="008C5BDD">
      <w:pPr>
        <w:pStyle w:val="PargrafodaLista"/>
        <w:numPr>
          <w:ilvl w:val="0"/>
          <w:numId w:val="22"/>
        </w:numPr>
        <w:shd w:val="clear" w:color="auto" w:fill="B5D8E9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REQUISITOS DA CONTRATAÇÃO</w:t>
      </w:r>
    </w:p>
    <w:p w14:paraId="74DAD7CF" w14:textId="3E87761F" w:rsidR="00540097" w:rsidRPr="008C5BDD" w:rsidRDefault="00540097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A contratação deverá observar os seguintes requisitos: </w:t>
      </w:r>
    </w:p>
    <w:p w14:paraId="613F8E71" w14:textId="442F18F0" w:rsidR="00540097" w:rsidRPr="008C5BDD" w:rsidRDefault="00540097" w:rsidP="008C5BDD">
      <w:pPr>
        <w:pStyle w:val="PargrafodaLista"/>
        <w:ind w:left="0"/>
        <w:contextualSpacing w:val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Da sustentabilidade</w:t>
      </w:r>
    </w:p>
    <w:p w14:paraId="3118CF08" w14:textId="77777777" w:rsidR="00540097" w:rsidRPr="008C5BDD" w:rsidRDefault="00540097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Os licitantes devem oferecer produtos acondicionados, preferencialmente, em embalagem individual adequada, com o menor volume possível, que utilize materiais recicláveis, de forma a garantir a máxima proteção durante o transporte e o armazenamento.</w:t>
      </w:r>
    </w:p>
    <w:p w14:paraId="72741503" w14:textId="41013A8B" w:rsidR="00540097" w:rsidRPr="008C5BDD" w:rsidRDefault="00540097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Além dos critérios de sustentabilidade eventualmente mencionados ao longo deste Termo de Referência, devem ser atendidos os seguintes requisitos, que se baseiam no Guia Nacional de Contratações Sustentáveis</w:t>
      </w:r>
      <w:r w:rsidRPr="008C5BD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8C5B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5F3BB7" w14:textId="0902422D" w:rsidR="00540097" w:rsidRPr="008C5BDD" w:rsidRDefault="00540097" w:rsidP="008567A6">
      <w:pPr>
        <w:pStyle w:val="PargrafodaLista"/>
        <w:numPr>
          <w:ilvl w:val="2"/>
          <w:numId w:val="2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lastRenderedPageBreak/>
        <w:t>Os fabricantes, importadores, distribuidores e comerciantes de produtos eletrônicos deverão estruturar, implementar e operar sistemas de logística reversa, mediante o retorno dos produtos e embalagens após o uso pelo consumidor, além de assegurar a sustentabilidade econômico-financeira da logística reversa (art. 33, VI, da Lei nº 12.305, de 2010 c/c incisos I e II do artigo 14 do Decreto nº 10.936, de 2022)</w:t>
      </w:r>
      <w:r w:rsidRPr="008C5BD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8C5BD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02DC10E" w14:textId="77777777" w:rsidR="00540097" w:rsidRPr="008C5BDD" w:rsidRDefault="00540097" w:rsidP="008567A6">
      <w:pPr>
        <w:pStyle w:val="PargrafodaLista"/>
        <w:numPr>
          <w:ilvl w:val="2"/>
          <w:numId w:val="2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No caso de produtos ainda não inclusos no sistema de logística reversa, fabricantes, importadores, distribuidores e comerciantes têm o compromisso de participar das ações previstas no plano municipal de gestão integrada de resíduos sólidos, quando firmados acordos ou termos de compromisso com o Município (art. 31, IV, da Lei nº 12.305, de 2010).</w:t>
      </w:r>
    </w:p>
    <w:p w14:paraId="5DDA90B1" w14:textId="3FAFA3DA" w:rsidR="00540097" w:rsidRPr="008C5BDD" w:rsidRDefault="00540097" w:rsidP="008567A6">
      <w:pPr>
        <w:pStyle w:val="PargrafodaLista"/>
        <w:numPr>
          <w:ilvl w:val="2"/>
          <w:numId w:val="2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O Decreto nº 10.936, de 2022, obriga fabricantes, importadores, distribuidores e comerciantes de produtos, seus resíduos e embalagens de agrotóxicos, pilhas e baterias, pneus, óleos lubrificantes, lâmpadas fluorescentes produtos eletroeletrônicos e seus componentes e de outros produtos, de seus resíduos ou de suas embalagens que sejam objeto de logística reversa na forma prevista no § 1º do referido artigo não signatários de acordo setorial ou termo de compromisso firmado com a União, a estruturar e implementar sistemas de logística reversa, consideradas as mesmas obrigações imputáveis aos signatários e aos aderentes de acordo setorial firmado com a União ( art. 28).</w:t>
      </w:r>
    </w:p>
    <w:p w14:paraId="46E168FC" w14:textId="77777777" w:rsidR="0035071E" w:rsidRPr="008C5BDD" w:rsidRDefault="0035071E" w:rsidP="008567A6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sz w:val="24"/>
          <w:szCs w:val="24"/>
        </w:rPr>
        <w:t xml:space="preserve">Além disso, a </w:t>
      </w:r>
      <w:r w:rsidRPr="008567A6">
        <w:rPr>
          <w:rFonts w:ascii="Times New Roman" w:hAnsi="Times New Roman" w:cs="Times New Roman"/>
          <w:sz w:val="24"/>
          <w:szCs w:val="24"/>
        </w:rPr>
        <w:t>contratação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deverá observar os seguintes requisitos previstos nos instrumentos normativos, a seguir:</w:t>
      </w:r>
    </w:p>
    <w:p w14:paraId="2A66C36E" w14:textId="77777777" w:rsidR="0035071E" w:rsidRPr="008C5BDD" w:rsidRDefault="0035071E" w:rsidP="008567A6">
      <w:pPr>
        <w:pStyle w:val="Nivel3"/>
        <w:numPr>
          <w:ilvl w:val="2"/>
          <w:numId w:val="22"/>
        </w:numPr>
        <w:spacing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Lei n.º 12.305, de 02 de agosto de 2010</w:t>
      </w:r>
      <w:r w:rsidRPr="008C5BDD">
        <w:rPr>
          <w:rFonts w:ascii="Times New Roman" w:hAnsi="Times New Roman" w:cs="Times New Roman"/>
          <w:sz w:val="24"/>
          <w:szCs w:val="24"/>
        </w:rPr>
        <w:t>, que instituiu a Política Nacional de Resíduos Sólidos;</w:t>
      </w:r>
    </w:p>
    <w:p w14:paraId="436414AC" w14:textId="77777777" w:rsidR="0035071E" w:rsidRPr="008C5BDD" w:rsidRDefault="0035071E" w:rsidP="008567A6">
      <w:pPr>
        <w:pStyle w:val="Nivel3"/>
        <w:numPr>
          <w:ilvl w:val="2"/>
          <w:numId w:val="22"/>
        </w:numPr>
        <w:spacing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Decreto</w:t>
      </w:r>
      <w:r w:rsidRPr="008C5BDD">
        <w:rPr>
          <w:rFonts w:ascii="Times New Roman" w:hAnsi="Times New Roman" w:cs="Times New Roman"/>
          <w:sz w:val="24"/>
          <w:szCs w:val="24"/>
        </w:rPr>
        <w:t xml:space="preserve"> </w:t>
      </w:r>
      <w:r w:rsidRPr="008C5BDD">
        <w:rPr>
          <w:rFonts w:ascii="Times New Roman" w:hAnsi="Times New Roman" w:cs="Times New Roman"/>
          <w:b/>
          <w:bCs/>
          <w:sz w:val="24"/>
          <w:szCs w:val="24"/>
        </w:rPr>
        <w:t>n.º 7.404, de 23 dezembro de 2010</w:t>
      </w:r>
      <w:r w:rsidRPr="008C5BDD">
        <w:rPr>
          <w:rFonts w:ascii="Times New Roman" w:hAnsi="Times New Roman" w:cs="Times New Roman"/>
          <w:sz w:val="24"/>
          <w:szCs w:val="24"/>
        </w:rPr>
        <w:t>, que regulamenta a Lei nº 12.305, de 2 de agosto de 2010, que institui a Política Nacional de Resíduos Sólidos, cria o Comitê Interministerial da Política Nacional de Resíduos Sólidos e o Comitê Orientador para a Implantação dos Sistemas de Logística Reversa, e dá outras providências;</w:t>
      </w:r>
    </w:p>
    <w:p w14:paraId="7179EFC9" w14:textId="77777777" w:rsidR="0035071E" w:rsidRPr="008C5BDD" w:rsidRDefault="0035071E" w:rsidP="008567A6">
      <w:pPr>
        <w:pStyle w:val="Nivel3"/>
        <w:numPr>
          <w:ilvl w:val="2"/>
          <w:numId w:val="22"/>
        </w:numPr>
        <w:spacing w:line="36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Decreto nº 9.177, de 2017</w:t>
      </w:r>
      <w:r w:rsidRPr="008C5BDD">
        <w:rPr>
          <w:rFonts w:ascii="Times New Roman" w:hAnsi="Times New Roman" w:cs="Times New Roman"/>
          <w:sz w:val="24"/>
          <w:szCs w:val="24"/>
        </w:rPr>
        <w:t xml:space="preserve"> (Regulamenta o art. 33 da Lei nº 12.305, de 2 de agosto de 2010, que institui a Política Nacional de Resíduos Sólidos, e complementa os art. 16 e art. 17 do Decreto nº 7.404, de 23 de dezembro de 2010 e dá outras providências.) </w:t>
      </w:r>
      <w:r w:rsidRPr="008C5BDD">
        <w:rPr>
          <w:rFonts w:ascii="Times New Roman" w:hAnsi="Times New Roman" w:cs="Times New Roman"/>
          <w:sz w:val="24"/>
          <w:szCs w:val="24"/>
        </w:rPr>
        <w:lastRenderedPageBreak/>
        <w:t>– a CONTRATADA deverá priorizar, para a execução dos serviços, a utilização de bens que sejam do todo ou em partes compostos por materiais recicláveis, atóxicos e biodegradáveis.</w:t>
      </w:r>
    </w:p>
    <w:p w14:paraId="1CC6D769" w14:textId="05DE1FDB" w:rsidR="00540097" w:rsidRPr="008567A6" w:rsidRDefault="00540097" w:rsidP="008567A6">
      <w:pPr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567A6">
        <w:rPr>
          <w:rFonts w:ascii="Times New Roman" w:hAnsi="Times New Roman" w:cs="Times New Roman"/>
          <w:b/>
          <w:bCs/>
          <w:sz w:val="24"/>
          <w:szCs w:val="24"/>
        </w:rPr>
        <w:t>Normas nacionais e padrões internacionais</w:t>
      </w:r>
    </w:p>
    <w:p w14:paraId="6A3BB793" w14:textId="77777777" w:rsidR="0035071E" w:rsidRPr="008C5BDD" w:rsidRDefault="0035071E" w:rsidP="008567A6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PARECER DE CÂMARA TÉCNICA Nº0052/2021 </w:t>
      </w:r>
      <w:r w:rsidRPr="008C5BDD">
        <w:rPr>
          <w:rFonts w:ascii="Times New Roman" w:eastAsia="Arial" w:hAnsi="Times New Roman" w:cs="Times New Roman"/>
          <w:sz w:val="24"/>
          <w:szCs w:val="24"/>
        </w:rPr>
        <w:t>– Que dispõe acerca da atuação do profissional da saúde com ultrassom;</w:t>
      </w:r>
    </w:p>
    <w:p w14:paraId="0FFE6503" w14:textId="77777777" w:rsidR="0035071E" w:rsidRPr="008C5BDD" w:rsidRDefault="0035071E" w:rsidP="008567A6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b/>
          <w:bCs/>
          <w:sz w:val="24"/>
          <w:szCs w:val="24"/>
        </w:rPr>
        <w:t>ABNT NBR 6146/1980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– Invólucro de equipamentos elétricos;</w:t>
      </w:r>
    </w:p>
    <w:p w14:paraId="2D75D911" w14:textId="77777777" w:rsidR="0035071E" w:rsidRPr="008C5BDD" w:rsidRDefault="0035071E" w:rsidP="008567A6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b/>
          <w:bCs/>
          <w:sz w:val="24"/>
          <w:szCs w:val="24"/>
        </w:rPr>
        <w:t>ABNT NBR 9884/1987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– Máquinas elétricas girantes;</w:t>
      </w:r>
    </w:p>
    <w:p w14:paraId="1D1524C3" w14:textId="77777777" w:rsidR="0035071E" w:rsidRPr="008C5BDD" w:rsidRDefault="0035071E" w:rsidP="008567A6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b/>
          <w:bCs/>
          <w:sz w:val="24"/>
          <w:szCs w:val="24"/>
        </w:rPr>
        <w:t>RDC 16/2013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- Regulamento Técnico de Boas Práticas de Fabricação de Produtos Médicos e Produtos para Diagnóstico de Uso </w:t>
      </w:r>
      <w:r w:rsidRPr="008C5BDD">
        <w:rPr>
          <w:rFonts w:ascii="Times New Roman" w:eastAsia="Arial" w:hAnsi="Times New Roman" w:cs="Times New Roman"/>
          <w:i/>
          <w:iCs/>
          <w:sz w:val="24"/>
          <w:szCs w:val="24"/>
        </w:rPr>
        <w:t>In Vitro</w:t>
      </w:r>
      <w:r w:rsidRPr="008C5BDD">
        <w:rPr>
          <w:rFonts w:ascii="Times New Roman" w:eastAsia="Arial" w:hAnsi="Times New Roman" w:cs="Times New Roman"/>
          <w:sz w:val="24"/>
          <w:szCs w:val="24"/>
        </w:rPr>
        <w:t>;</w:t>
      </w:r>
    </w:p>
    <w:p w14:paraId="4F302089" w14:textId="77777777" w:rsidR="0035071E" w:rsidRPr="008C5BDD" w:rsidRDefault="0035071E" w:rsidP="008567A6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b/>
          <w:bCs/>
          <w:sz w:val="24"/>
          <w:szCs w:val="24"/>
        </w:rPr>
        <w:t>RDC 23/2012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- Obrigatoriedade de execução e notificação de ações de campo por detentores de registro de produtos para a saúde no Brasil;</w:t>
      </w:r>
    </w:p>
    <w:p w14:paraId="045CFD7E" w14:textId="77777777" w:rsidR="0035071E" w:rsidRPr="008C5BDD" w:rsidRDefault="0035071E" w:rsidP="008567A6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b/>
          <w:bCs/>
          <w:sz w:val="24"/>
          <w:szCs w:val="24"/>
        </w:rPr>
        <w:t>LEI Nº 8.080/1990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– Dispõe acerca das condições para a promoção, proteção e recuperação da saúde, a organização e o funcionamento dos serviços correspondentes;</w:t>
      </w:r>
    </w:p>
    <w:p w14:paraId="7B4E3C5E" w14:textId="77777777" w:rsidR="0035071E" w:rsidRPr="008C5BDD" w:rsidRDefault="0035071E" w:rsidP="008567A6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b/>
          <w:bCs/>
          <w:sz w:val="24"/>
          <w:szCs w:val="24"/>
        </w:rPr>
        <w:t>LEI Nº 6.360/1976 Art. 12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– Dispõe da industrialização, exposição à venda e </w:t>
      </w:r>
      <w:r w:rsidRPr="008567A6">
        <w:rPr>
          <w:rFonts w:ascii="Times New Roman" w:eastAsia="Arial" w:hAnsi="Times New Roman" w:cs="Times New Roman"/>
          <w:sz w:val="24"/>
          <w:szCs w:val="24"/>
        </w:rPr>
        <w:t xml:space="preserve">entrega </w:t>
      </w:r>
      <w:r w:rsidRPr="008C5BDD">
        <w:rPr>
          <w:rFonts w:ascii="Times New Roman" w:eastAsia="Arial" w:hAnsi="Times New Roman" w:cs="Times New Roman"/>
          <w:sz w:val="24"/>
          <w:szCs w:val="24"/>
        </w:rPr>
        <w:t>ao consumidor antes de registro no Ministério da Saúde;</w:t>
      </w:r>
    </w:p>
    <w:p w14:paraId="036EE8A6" w14:textId="77777777" w:rsidR="0035071E" w:rsidRPr="008C5BDD" w:rsidRDefault="0035071E" w:rsidP="008567A6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b/>
          <w:bCs/>
          <w:sz w:val="24"/>
          <w:szCs w:val="24"/>
        </w:rPr>
        <w:t>LEI Nº 6.360/1976 Art. 25 §1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- Aparelhos, instrumentos ou acessórios, embora dispensados de registro, são sujeitos ao regime de Vigilância Sanitária;</w:t>
      </w:r>
    </w:p>
    <w:p w14:paraId="50DFDD94" w14:textId="77777777" w:rsidR="0035071E" w:rsidRPr="008C5BDD" w:rsidRDefault="0035071E" w:rsidP="008567A6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b/>
          <w:bCs/>
          <w:sz w:val="24"/>
          <w:szCs w:val="24"/>
        </w:rPr>
        <w:t>RDC 185/2001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- Registro, alteração, revalidação e cancelamento do registro de produtos médicos na ANVISA;</w:t>
      </w:r>
    </w:p>
    <w:p w14:paraId="3744563A" w14:textId="77777777" w:rsidR="0035071E" w:rsidRPr="008C5BDD" w:rsidRDefault="0035071E" w:rsidP="008567A6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b/>
          <w:bCs/>
          <w:sz w:val="24"/>
          <w:szCs w:val="24"/>
        </w:rPr>
        <w:t>RDC n° 40/2015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- Requisitos do cadastro de produtos médicos;</w:t>
      </w:r>
    </w:p>
    <w:p w14:paraId="23404B60" w14:textId="08137817" w:rsidR="0035071E" w:rsidRDefault="0035071E" w:rsidP="008567A6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b/>
          <w:bCs/>
          <w:sz w:val="24"/>
          <w:szCs w:val="24"/>
        </w:rPr>
        <w:t>RESOLUÇÃO CFM Nº 2.056/2013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– Estabelece os departamentos de fiscalização nos Conselhos Regionais de Medicina, estabelece critérios mínimos para funcionamento de serviços médicos e trata dos roteiros de anamnese a serem adotados no país</w:t>
      </w:r>
      <w:r w:rsidR="00282222" w:rsidRPr="008C5BDD">
        <w:rPr>
          <w:rFonts w:ascii="Times New Roman" w:eastAsia="Arial" w:hAnsi="Times New Roman" w:cs="Times New Roman"/>
          <w:sz w:val="24"/>
          <w:szCs w:val="24"/>
        </w:rPr>
        <w:t>.</w:t>
      </w:r>
    </w:p>
    <w:p w14:paraId="10548704" w14:textId="25ED28EE" w:rsidR="00AB4C4B" w:rsidRPr="008C5BDD" w:rsidRDefault="00AB4C4B" w:rsidP="008567A6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O objeto deve estar em conformidade de registro perante a ANVISA, bem como atender aos requisitos do Protocolo HL7 (Health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7).</w:t>
      </w:r>
    </w:p>
    <w:p w14:paraId="2C85B481" w14:textId="6D3DE28F" w:rsidR="00540097" w:rsidRPr="008C5BDD" w:rsidRDefault="00540097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sz w:val="24"/>
          <w:szCs w:val="24"/>
        </w:rPr>
        <w:t xml:space="preserve">As especificações técnicas descritas devem ser seguidas de forma estrita pela CONTRATADA, a fim de que sejam atingidos os objetivos a que se propõe este </w:t>
      </w:r>
      <w:r w:rsidR="00BD7C63" w:rsidRPr="008C5BDD">
        <w:rPr>
          <w:rFonts w:ascii="Times New Roman" w:eastAsia="Arial" w:hAnsi="Times New Roman" w:cs="Times New Roman"/>
          <w:sz w:val="24"/>
          <w:szCs w:val="24"/>
        </w:rPr>
        <w:t>TR</w:t>
      </w:r>
      <w:r w:rsidRPr="008C5BDD">
        <w:rPr>
          <w:rFonts w:ascii="Times New Roman" w:eastAsia="Arial" w:hAnsi="Times New Roman" w:cs="Times New Roman"/>
          <w:sz w:val="24"/>
          <w:szCs w:val="24"/>
        </w:rPr>
        <w:t>.</w:t>
      </w:r>
    </w:p>
    <w:p w14:paraId="22580B74" w14:textId="73161813" w:rsidR="00BD7C63" w:rsidRPr="00AB4C4B" w:rsidRDefault="00540097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É de fundamental importância o interesse da licitante em ter pleno conhecimento de todas as informações que se relacionam com a execução do objeto deste </w:t>
      </w:r>
      <w:r w:rsidR="00E76B5C" w:rsidRPr="008C5BDD">
        <w:rPr>
          <w:rFonts w:ascii="Times New Roman" w:eastAsia="Arial" w:hAnsi="Times New Roman" w:cs="Times New Roman"/>
          <w:sz w:val="24"/>
          <w:szCs w:val="24"/>
        </w:rPr>
        <w:t>TR, se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incluindo as condições do local dos serviços, transportes, energia, abastecimento, bem como quaisquer dificuldades eventuais relacionadas às atividades pertinentes à disponibilização ou instalação dos equipamentos e serviço</w:t>
      </w:r>
      <w:r w:rsidR="00BF330B" w:rsidRPr="008C5BDD">
        <w:rPr>
          <w:rFonts w:ascii="Times New Roman" w:eastAsia="Arial" w:hAnsi="Times New Roman" w:cs="Times New Roman"/>
          <w:sz w:val="24"/>
          <w:szCs w:val="24"/>
        </w:rPr>
        <w:t>s.</w:t>
      </w:r>
    </w:p>
    <w:p w14:paraId="76900EC4" w14:textId="789D9E29" w:rsidR="00BD7C63" w:rsidRPr="008C5BDD" w:rsidRDefault="00BD7C63" w:rsidP="008C5BDD">
      <w:pPr>
        <w:pStyle w:val="PargrafodaLista"/>
        <w:ind w:left="0"/>
        <w:contextualSpacing w:val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Da indicação de marcas ou modelos</w:t>
      </w:r>
    </w:p>
    <w:p w14:paraId="52FDF4CA" w14:textId="77777777" w:rsidR="00A676E3" w:rsidRPr="008C5BDD" w:rsidRDefault="00A676E3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Salienta-se que as especificações dos itens, objeto deste Termo de Referência, são suficientes à escolha do futuro contratado, certificando, ainda, que não há determinação de marca, nem tão pouco importam em cerceamento da competitividade do certame.</w:t>
      </w:r>
    </w:p>
    <w:p w14:paraId="2BB25245" w14:textId="174AF25B" w:rsidR="0035071E" w:rsidRPr="008C5BDD" w:rsidRDefault="004A01BB" w:rsidP="008C5BDD">
      <w:pPr>
        <w:pStyle w:val="PargrafodaLista"/>
        <w:ind w:left="0"/>
        <w:contextualSpacing w:val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Da subcontratação</w:t>
      </w:r>
    </w:p>
    <w:p w14:paraId="6B348DFC" w14:textId="2AA5FA77" w:rsidR="004A01BB" w:rsidRPr="008C5BDD" w:rsidRDefault="004A01BB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Não é admitida a subcontratação do objeto contratual.</w:t>
      </w:r>
    </w:p>
    <w:p w14:paraId="0F3D7F46" w14:textId="5FF8F465" w:rsidR="004A01BB" w:rsidRPr="008C5BDD" w:rsidRDefault="004A01BB" w:rsidP="008C5BDD">
      <w:pPr>
        <w:pStyle w:val="PargrafodaLista"/>
        <w:ind w:left="0"/>
        <w:contextualSpacing w:val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Da garantia da contratação</w:t>
      </w:r>
    </w:p>
    <w:p w14:paraId="51742EDE" w14:textId="0ADE1E0E" w:rsidR="004A01BB" w:rsidRPr="008C5BDD" w:rsidRDefault="004A01BB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Não haverá exigência da garantia da contratação conforme disposição dos artigos 96 e seguintes da Lei nº. 14.133, de 2021, por se tratar de objeto de baixo risco e complexidade.</w:t>
      </w:r>
    </w:p>
    <w:p w14:paraId="087E4E2D" w14:textId="405F5894" w:rsidR="004A01BB" w:rsidRPr="008C5BDD" w:rsidRDefault="004A01BB" w:rsidP="008C5BDD">
      <w:pPr>
        <w:pStyle w:val="PargrafodaLista"/>
        <w:ind w:left="0"/>
        <w:contextualSpacing w:val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Das condições</w:t>
      </w:r>
    </w:p>
    <w:p w14:paraId="7A1B922F" w14:textId="77777777" w:rsidR="004A01BB" w:rsidRPr="008C5BDD" w:rsidRDefault="004A01BB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pessoa jurídica a ser contratada deverá atender as exigências previstas na Lei n.º 14.133/2021, sob pena de desclassificação da sua proposta.</w:t>
      </w:r>
    </w:p>
    <w:p w14:paraId="145CA623" w14:textId="77777777" w:rsidR="004A01BB" w:rsidRPr="008C5BDD" w:rsidRDefault="004A01BB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Contratada deverá garantir a qualidade dos produtos ofertados, devendo realizar a correção em caso de defeito no objeto contratado, correndo todo o ônus por sua conta.</w:t>
      </w:r>
    </w:p>
    <w:p w14:paraId="7FDD6352" w14:textId="77777777" w:rsidR="004A01BB" w:rsidRPr="008C5BDD" w:rsidRDefault="004A01BB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Contratada deverá responsabilizar-se por todas as despesas de embalagem, seguros, transporte, tributos, encargos trabalhistas e previdenciários, decorrentes da contratação.</w:t>
      </w:r>
    </w:p>
    <w:p w14:paraId="79CB44E5" w14:textId="1C922140" w:rsidR="004A01BB" w:rsidRPr="008C5BDD" w:rsidRDefault="004A01BB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Os materiais poderão ser rejeitados, no todo ou em parte, quando entregues com defeito, danificados ou em desacordo com as especificações constantes neste Termo de Referência e na proposta, devendo ser corrigidos/refeitos/substituídos no prazo de </w:t>
      </w:r>
      <w:r w:rsidR="00622EDB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Pr="008C5B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622EDB">
        <w:rPr>
          <w:rFonts w:ascii="Times New Roman" w:hAnsi="Times New Roman" w:cs="Times New Roman"/>
          <w:b/>
          <w:bCs/>
          <w:sz w:val="24"/>
          <w:szCs w:val="24"/>
          <w:u w:val="single"/>
        </w:rPr>
        <w:t>dez</w:t>
      </w:r>
      <w:r w:rsidRPr="008C5BDD">
        <w:rPr>
          <w:rFonts w:ascii="Times New Roman" w:hAnsi="Times New Roman" w:cs="Times New Roman"/>
          <w:b/>
          <w:bCs/>
          <w:sz w:val="24"/>
          <w:szCs w:val="24"/>
          <w:u w:val="single"/>
        </w:rPr>
        <w:t>) dias úteis</w:t>
      </w:r>
      <w:r w:rsidRPr="008C5BDD">
        <w:rPr>
          <w:rFonts w:ascii="Times New Roman" w:hAnsi="Times New Roman" w:cs="Times New Roman"/>
          <w:sz w:val="24"/>
          <w:szCs w:val="24"/>
        </w:rPr>
        <w:t>, contados a partir da comunicação oficial feita pela FEMAR, e a reposição deverá ser por outro material com especificações técnicas iguais, ou superiores, com aprovação prévia da Contratante, e às custas da Contratada, sem prejuízo da aplicação das penalidades cabíveis, na forma do artigo 119 da Lei nº 14.133/2021;</w:t>
      </w:r>
    </w:p>
    <w:p w14:paraId="4D954DA6" w14:textId="6DCEDBB3" w:rsidR="004A01BB" w:rsidRPr="008C5BDD" w:rsidRDefault="004A01BB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lastRenderedPageBreak/>
        <w:t>Os materiais a serem fornecidos deverão ser novos, atendendo, rigorosamente, às especificações estabelecidas no presente Termo.</w:t>
      </w:r>
    </w:p>
    <w:p w14:paraId="2D3AAFF3" w14:textId="10A7E34C" w:rsidR="00C53280" w:rsidRPr="008C5BDD" w:rsidRDefault="00566F78" w:rsidP="008C5BDD">
      <w:pPr>
        <w:pStyle w:val="PargrafodaLista"/>
        <w:numPr>
          <w:ilvl w:val="0"/>
          <w:numId w:val="22"/>
        </w:numPr>
        <w:shd w:val="clear" w:color="auto" w:fill="B5D8E9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MODELO DE EXECUÇÃO DO OBJETO</w:t>
      </w:r>
    </w:p>
    <w:p w14:paraId="40A6DAAD" w14:textId="22911D46" w:rsidR="00876452" w:rsidRPr="008C5BDD" w:rsidRDefault="00E76B5C" w:rsidP="008C5BDD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locação do objeto em comento se dará de forma integral, sem necessidade de parcelamento, visando minimizar ônus desnecessário</w:t>
      </w:r>
      <w:r w:rsidR="00876452" w:rsidRPr="008C5BDD">
        <w:rPr>
          <w:rFonts w:ascii="Times New Roman" w:hAnsi="Times New Roman" w:cs="Times New Roman"/>
          <w:sz w:val="24"/>
          <w:szCs w:val="24"/>
        </w:rPr>
        <w:t>, bem como garantir que a Administração tenha a discricionariedade de agir conforme suas demandas</w:t>
      </w:r>
      <w:r w:rsidR="0045552F" w:rsidRPr="008C5BDD">
        <w:rPr>
          <w:rFonts w:ascii="Times New Roman" w:hAnsi="Times New Roman" w:cs="Times New Roman"/>
          <w:sz w:val="24"/>
          <w:szCs w:val="24"/>
        </w:rPr>
        <w:t>.</w:t>
      </w:r>
    </w:p>
    <w:p w14:paraId="3A6B0C2A" w14:textId="55E107E2" w:rsidR="000644D6" w:rsidRPr="008C5BDD" w:rsidRDefault="000644D6" w:rsidP="008C5BDD">
      <w:pPr>
        <w:pStyle w:val="PargrafodaLista"/>
        <w:ind w:left="0"/>
        <w:contextualSpacing w:val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Do prazo e local de entrega do objeto</w:t>
      </w:r>
    </w:p>
    <w:p w14:paraId="1DA36186" w14:textId="2C9EAD54" w:rsidR="00876452" w:rsidRPr="00622EDB" w:rsidRDefault="00876452" w:rsidP="00622EDB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622EDB">
        <w:rPr>
          <w:rFonts w:ascii="Times New Roman" w:eastAsia="Arial" w:hAnsi="Times New Roman" w:cs="Times New Roman"/>
          <w:sz w:val="24"/>
          <w:szCs w:val="24"/>
        </w:rPr>
        <w:t xml:space="preserve">O </w:t>
      </w:r>
      <w:r w:rsidRPr="00622EDB">
        <w:rPr>
          <w:rFonts w:ascii="Times New Roman" w:hAnsi="Times New Roman" w:cs="Times New Roman"/>
          <w:sz w:val="24"/>
          <w:szCs w:val="24"/>
        </w:rPr>
        <w:t>prazo</w:t>
      </w:r>
      <w:r w:rsidRPr="00622EDB">
        <w:rPr>
          <w:rFonts w:ascii="Times New Roman" w:eastAsia="Arial" w:hAnsi="Times New Roman" w:cs="Times New Roman"/>
          <w:sz w:val="24"/>
          <w:szCs w:val="24"/>
        </w:rPr>
        <w:t xml:space="preserve"> de entrega do objeto será de </w:t>
      </w:r>
      <w:r w:rsidRPr="00622ED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20 (vinte) dias úteis</w:t>
      </w:r>
      <w:r w:rsidRPr="00622EDB">
        <w:rPr>
          <w:rFonts w:ascii="Times New Roman" w:eastAsia="Arial" w:hAnsi="Times New Roman" w:cs="Times New Roman"/>
          <w:sz w:val="24"/>
          <w:szCs w:val="24"/>
        </w:rPr>
        <w:t>, contados da comunicação formal da empresa a ser contratada</w:t>
      </w:r>
      <w:r w:rsidR="00AD285F">
        <w:rPr>
          <w:rFonts w:ascii="Times New Roman" w:eastAsia="Arial" w:hAnsi="Times New Roman" w:cs="Times New Roman"/>
          <w:sz w:val="24"/>
          <w:szCs w:val="24"/>
        </w:rPr>
        <w:t>.</w:t>
      </w:r>
    </w:p>
    <w:p w14:paraId="7E055C09" w14:textId="30900C7B" w:rsidR="000644D6" w:rsidRDefault="000644D6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entrega d</w:t>
      </w:r>
      <w:r w:rsidR="00AD285F">
        <w:rPr>
          <w:rFonts w:ascii="Times New Roman" w:hAnsi="Times New Roman" w:cs="Times New Roman"/>
          <w:sz w:val="24"/>
          <w:szCs w:val="24"/>
        </w:rPr>
        <w:t>os equipamentos e início da prestação dos serviços</w:t>
      </w:r>
      <w:r w:rsidRPr="008C5BDD">
        <w:rPr>
          <w:rFonts w:ascii="Times New Roman" w:hAnsi="Times New Roman" w:cs="Times New Roman"/>
          <w:sz w:val="24"/>
          <w:szCs w:val="24"/>
        </w:rPr>
        <w:t xml:space="preserve"> deverá ser realizada </w:t>
      </w:r>
      <w:r w:rsidR="0045552F" w:rsidRPr="008C5BDD">
        <w:rPr>
          <w:rFonts w:ascii="Times New Roman" w:hAnsi="Times New Roman" w:cs="Times New Roman"/>
          <w:sz w:val="24"/>
          <w:szCs w:val="24"/>
        </w:rPr>
        <w:t>nas</w:t>
      </w:r>
      <w:r w:rsidRPr="00C9580A">
        <w:rPr>
          <w:rFonts w:ascii="Times New Roman" w:hAnsi="Times New Roman" w:cs="Times New Roman"/>
          <w:sz w:val="24"/>
          <w:szCs w:val="24"/>
        </w:rPr>
        <w:t xml:space="preserve"> unidades descritas </w:t>
      </w:r>
      <w:r w:rsidR="00AD285F">
        <w:rPr>
          <w:rFonts w:ascii="Times New Roman" w:hAnsi="Times New Roman" w:cs="Times New Roman"/>
          <w:sz w:val="24"/>
          <w:szCs w:val="24"/>
        </w:rPr>
        <w:t>a seguir</w:t>
      </w:r>
      <w:r w:rsidR="0045552F" w:rsidRPr="00C9580A">
        <w:rPr>
          <w:rFonts w:ascii="Times New Roman" w:hAnsi="Times New Roman" w:cs="Times New Roman"/>
          <w:sz w:val="24"/>
          <w:szCs w:val="24"/>
        </w:rPr>
        <w:t xml:space="preserve">, </w:t>
      </w:r>
      <w:r w:rsidRPr="00C9580A">
        <w:rPr>
          <w:rFonts w:ascii="Times New Roman" w:hAnsi="Times New Roman" w:cs="Times New Roman"/>
          <w:sz w:val="24"/>
          <w:szCs w:val="24"/>
        </w:rPr>
        <w:t xml:space="preserve">no período compreendido entre </w:t>
      </w:r>
      <w:r w:rsidRPr="00AD28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09h e 16h de segunda-feira à sexta-feira, </w:t>
      </w:r>
      <w:r w:rsidR="00AD285F" w:rsidRPr="00AD285F">
        <w:rPr>
          <w:rFonts w:ascii="Times New Roman" w:hAnsi="Times New Roman" w:cs="Times New Roman"/>
          <w:b/>
          <w:bCs/>
          <w:sz w:val="24"/>
          <w:szCs w:val="24"/>
          <w:u w:val="single"/>
        </w:rPr>
        <w:t>em dias úteis</w:t>
      </w:r>
      <w:r w:rsidR="00AD285F">
        <w:rPr>
          <w:rFonts w:ascii="Times New Roman" w:hAnsi="Times New Roman" w:cs="Times New Roman"/>
          <w:sz w:val="24"/>
          <w:szCs w:val="24"/>
        </w:rPr>
        <w:t xml:space="preserve">, </w:t>
      </w:r>
      <w:r w:rsidRPr="00C9580A">
        <w:rPr>
          <w:rFonts w:ascii="Times New Roman" w:hAnsi="Times New Roman" w:cs="Times New Roman"/>
          <w:sz w:val="24"/>
          <w:szCs w:val="24"/>
        </w:rPr>
        <w:t>exceto feriados e pontos facultativos</w:t>
      </w:r>
      <w:r w:rsidR="00AD285F">
        <w:rPr>
          <w:rFonts w:ascii="Times New Roman" w:hAnsi="Times New Roman" w:cs="Times New Roman"/>
          <w:sz w:val="24"/>
          <w:szCs w:val="24"/>
        </w:rPr>
        <w:t>, a saber:</w:t>
      </w:r>
    </w:p>
    <w:tbl>
      <w:tblPr>
        <w:tblStyle w:val="Tabelacomgrade"/>
        <w:tblW w:w="9174" w:type="dxa"/>
        <w:jc w:val="center"/>
        <w:tblLayout w:type="fixed"/>
        <w:tblLook w:val="04A0" w:firstRow="1" w:lastRow="0" w:firstColumn="1" w:lastColumn="0" w:noHBand="0" w:noVBand="1"/>
      </w:tblPr>
      <w:tblGrid>
        <w:gridCol w:w="6623"/>
        <w:gridCol w:w="1559"/>
        <w:gridCol w:w="992"/>
      </w:tblGrid>
      <w:tr w:rsidR="00AD285F" w:rsidRPr="00AD285F" w14:paraId="33B0E2A5" w14:textId="77777777" w:rsidTr="00AD285F">
        <w:trPr>
          <w:trHeight w:val="343"/>
          <w:jc w:val="center"/>
        </w:trPr>
        <w:tc>
          <w:tcPr>
            <w:tcW w:w="6623" w:type="dxa"/>
            <w:shd w:val="clear" w:color="auto" w:fill="B5D5E9"/>
            <w:noWrap/>
            <w:vAlign w:val="center"/>
          </w:tcPr>
          <w:p w14:paraId="12F9DF7F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285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UNIDADE DE SAÚDE</w:t>
            </w:r>
          </w:p>
        </w:tc>
        <w:tc>
          <w:tcPr>
            <w:tcW w:w="1559" w:type="dxa"/>
            <w:shd w:val="clear" w:color="auto" w:fill="B5D5E9"/>
            <w:noWrap/>
            <w:vAlign w:val="center"/>
          </w:tcPr>
          <w:p w14:paraId="16FFBC38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285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992" w:type="dxa"/>
            <w:shd w:val="clear" w:color="auto" w:fill="B5D5E9"/>
            <w:vAlign w:val="center"/>
          </w:tcPr>
          <w:p w14:paraId="6BE462D8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AD285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QTD.</w:t>
            </w:r>
          </w:p>
        </w:tc>
      </w:tr>
      <w:tr w:rsidR="00AD285F" w:rsidRPr="00AD285F" w14:paraId="40E87D1D" w14:textId="77777777" w:rsidTr="00AD285F">
        <w:trPr>
          <w:trHeight w:val="343"/>
          <w:jc w:val="center"/>
        </w:trPr>
        <w:tc>
          <w:tcPr>
            <w:tcW w:w="6623" w:type="dxa"/>
            <w:noWrap/>
            <w:vAlign w:val="center"/>
          </w:tcPr>
          <w:p w14:paraId="52D80BF0" w14:textId="07272A52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F1D7F">
              <w:rPr>
                <w:rFonts w:ascii="Times New Roman" w:hAnsi="Times New Roman" w:cs="Times New Roman"/>
                <w:b/>
                <w:bCs/>
                <w:color w:val="26282A"/>
                <w:sz w:val="24"/>
                <w:szCs w:val="24"/>
                <w:shd w:val="clear" w:color="auto" w:fill="FFFFFF"/>
              </w:rPr>
              <w:t>USF Centro</w:t>
            </w:r>
            <w:r w:rsidRPr="00AD285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- Rua Clímaco Pereira, 241, Centro</w:t>
            </w:r>
            <w:r w:rsidR="009F1D7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– Maricá/RJ</w:t>
            </w:r>
          </w:p>
        </w:tc>
        <w:tc>
          <w:tcPr>
            <w:tcW w:w="1559" w:type="dxa"/>
            <w:noWrap/>
            <w:vAlign w:val="center"/>
          </w:tcPr>
          <w:p w14:paraId="454EC53D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D285F">
              <w:rPr>
                <w:rFonts w:ascii="Times New Roman" w:eastAsia="Arial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79F180D6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28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AD285F" w:rsidRPr="00AD285F" w14:paraId="4BE8F96C" w14:textId="77777777" w:rsidTr="00AD285F">
        <w:trPr>
          <w:trHeight w:val="343"/>
          <w:jc w:val="center"/>
        </w:trPr>
        <w:tc>
          <w:tcPr>
            <w:tcW w:w="6623" w:type="dxa"/>
            <w:noWrap/>
            <w:vAlign w:val="center"/>
          </w:tcPr>
          <w:p w14:paraId="5D48B026" w14:textId="09328615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1D7F">
              <w:rPr>
                <w:rFonts w:ascii="Times New Roman" w:hAnsi="Times New Roman" w:cs="Times New Roman"/>
                <w:b/>
                <w:bCs/>
                <w:color w:val="26282A"/>
                <w:sz w:val="24"/>
                <w:szCs w:val="24"/>
                <w:shd w:val="clear" w:color="auto" w:fill="FFFFFF"/>
              </w:rPr>
              <w:t>USF Marinelândia</w:t>
            </w:r>
            <w:r w:rsidRPr="00AD285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- Rua nove, quadra 15- Cordeirinho</w:t>
            </w:r>
            <w:r w:rsidR="009F1D7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– Maricá/RJ</w:t>
            </w:r>
          </w:p>
        </w:tc>
        <w:tc>
          <w:tcPr>
            <w:tcW w:w="1559" w:type="dxa"/>
            <w:noWrap/>
            <w:vAlign w:val="center"/>
          </w:tcPr>
          <w:p w14:paraId="489A76D9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D285F">
              <w:rPr>
                <w:rFonts w:ascii="Times New Roman" w:eastAsia="Arial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68CE42E3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28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AD285F" w:rsidRPr="00AD285F" w14:paraId="765901DC" w14:textId="77777777" w:rsidTr="00AD285F">
        <w:trPr>
          <w:trHeight w:val="343"/>
          <w:jc w:val="center"/>
        </w:trPr>
        <w:tc>
          <w:tcPr>
            <w:tcW w:w="6623" w:type="dxa"/>
            <w:noWrap/>
            <w:vAlign w:val="center"/>
          </w:tcPr>
          <w:p w14:paraId="251CCBCB" w14:textId="499668FF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1D7F">
              <w:rPr>
                <w:rFonts w:ascii="Times New Roman" w:hAnsi="Times New Roman" w:cs="Times New Roman"/>
                <w:b/>
                <w:bCs/>
                <w:color w:val="26282A"/>
                <w:sz w:val="24"/>
                <w:szCs w:val="24"/>
                <w:shd w:val="clear" w:color="auto" w:fill="FFFFFF"/>
              </w:rPr>
              <w:t>USF Inoã II</w:t>
            </w:r>
            <w:r w:rsidRPr="00AD285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- Rodovia Amaral Peixoto, km14, ao lado do DPO</w:t>
            </w:r>
            <w:r w:rsidR="009F1D7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– Maricá/RJ</w:t>
            </w:r>
          </w:p>
        </w:tc>
        <w:tc>
          <w:tcPr>
            <w:tcW w:w="1559" w:type="dxa"/>
            <w:noWrap/>
            <w:vAlign w:val="center"/>
          </w:tcPr>
          <w:p w14:paraId="5CC2DEBF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D285F">
              <w:rPr>
                <w:rFonts w:ascii="Times New Roman" w:eastAsia="Arial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3AE82179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28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AD285F" w:rsidRPr="00AD285F" w14:paraId="66BA09BE" w14:textId="77777777" w:rsidTr="00AD285F">
        <w:trPr>
          <w:trHeight w:val="343"/>
          <w:jc w:val="center"/>
        </w:trPr>
        <w:tc>
          <w:tcPr>
            <w:tcW w:w="6623" w:type="dxa"/>
            <w:noWrap/>
            <w:vAlign w:val="center"/>
          </w:tcPr>
          <w:p w14:paraId="2CDA8DE4" w14:textId="5FBDC4D0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1D7F">
              <w:rPr>
                <w:rFonts w:ascii="Times New Roman" w:hAnsi="Times New Roman" w:cs="Times New Roman"/>
                <w:b/>
                <w:bCs/>
                <w:color w:val="26282A"/>
                <w:sz w:val="24"/>
                <w:szCs w:val="24"/>
                <w:shd w:val="clear" w:color="auto" w:fill="FFFFFF"/>
              </w:rPr>
              <w:t>USF Jardim Atlantico</w:t>
            </w:r>
            <w:r w:rsidRPr="00AD285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- Rua Antônio Marques Mathias, Lote 01, Quadra 206, Jardim Atlantico Central – Itaipuaçu</w:t>
            </w:r>
            <w:r w:rsidR="009F1D7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– Maricá/RJ</w:t>
            </w:r>
          </w:p>
        </w:tc>
        <w:tc>
          <w:tcPr>
            <w:tcW w:w="1559" w:type="dxa"/>
            <w:noWrap/>
            <w:vAlign w:val="center"/>
          </w:tcPr>
          <w:p w14:paraId="57823FFD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D285F">
              <w:rPr>
                <w:rFonts w:ascii="Times New Roman" w:eastAsia="Arial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3ADDB6C9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28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AD285F" w:rsidRPr="00AD285F" w14:paraId="080CF20E" w14:textId="77777777" w:rsidTr="00AD285F">
        <w:trPr>
          <w:trHeight w:val="343"/>
          <w:jc w:val="center"/>
        </w:trPr>
        <w:tc>
          <w:tcPr>
            <w:tcW w:w="6623" w:type="dxa"/>
            <w:noWrap/>
            <w:vAlign w:val="center"/>
          </w:tcPr>
          <w:p w14:paraId="58D288BE" w14:textId="70EC249B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1D7F">
              <w:rPr>
                <w:rFonts w:ascii="Times New Roman" w:hAnsi="Times New Roman" w:cs="Times New Roman"/>
                <w:b/>
                <w:bCs/>
                <w:color w:val="26282A"/>
                <w:sz w:val="24"/>
                <w:szCs w:val="24"/>
                <w:shd w:val="clear" w:color="auto" w:fill="FFFFFF"/>
              </w:rPr>
              <w:t>USF São José I</w:t>
            </w:r>
            <w:r w:rsidRPr="00AD285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- Rua 18, Jardim Ouro Mar – São José</w:t>
            </w:r>
            <w:r w:rsidR="009F1D7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de Imbassaí – Maricá/RJ</w:t>
            </w:r>
          </w:p>
        </w:tc>
        <w:tc>
          <w:tcPr>
            <w:tcW w:w="1559" w:type="dxa"/>
            <w:noWrap/>
            <w:vAlign w:val="center"/>
          </w:tcPr>
          <w:p w14:paraId="1FD4BA6A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D285F">
              <w:rPr>
                <w:rFonts w:ascii="Times New Roman" w:eastAsia="Arial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3F0042BC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28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AD285F" w:rsidRPr="00AD285F" w14:paraId="1B7610E4" w14:textId="77777777" w:rsidTr="00AD285F">
        <w:trPr>
          <w:trHeight w:val="343"/>
          <w:jc w:val="center"/>
        </w:trPr>
        <w:tc>
          <w:tcPr>
            <w:tcW w:w="6623" w:type="dxa"/>
            <w:noWrap/>
            <w:vAlign w:val="center"/>
          </w:tcPr>
          <w:p w14:paraId="0E8ABBEA" w14:textId="58ED3139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1D7F">
              <w:rPr>
                <w:rFonts w:ascii="Times New Roman" w:hAnsi="Times New Roman" w:cs="Times New Roman"/>
                <w:b/>
                <w:bCs/>
                <w:color w:val="26282A"/>
                <w:sz w:val="24"/>
                <w:szCs w:val="24"/>
                <w:shd w:val="clear" w:color="auto" w:fill="FFFFFF"/>
              </w:rPr>
              <w:t>Ambulatório Péricles Siqueira</w:t>
            </w:r>
            <w:r w:rsidRPr="00AD285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–</w:t>
            </w:r>
            <w:r w:rsidR="009F1D7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</w:t>
            </w:r>
            <w:r w:rsidRPr="00AD285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>Rua Doutor Milton De Souza Pacheco, Nº 6, quadra P, Parque Eldorado</w:t>
            </w:r>
            <w:r w:rsidR="009F1D7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– Maricá/RJ</w:t>
            </w:r>
          </w:p>
        </w:tc>
        <w:tc>
          <w:tcPr>
            <w:tcW w:w="1559" w:type="dxa"/>
            <w:noWrap/>
            <w:vAlign w:val="center"/>
          </w:tcPr>
          <w:p w14:paraId="7B57AE3C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D285F">
              <w:rPr>
                <w:rFonts w:ascii="Times New Roman" w:eastAsia="Arial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6DC436C5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28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AD285F" w:rsidRPr="00AD285F" w14:paraId="22DCB955" w14:textId="77777777" w:rsidTr="00AD285F">
        <w:trPr>
          <w:trHeight w:val="343"/>
          <w:jc w:val="center"/>
        </w:trPr>
        <w:tc>
          <w:tcPr>
            <w:tcW w:w="6623" w:type="dxa"/>
            <w:noWrap/>
            <w:vAlign w:val="center"/>
          </w:tcPr>
          <w:p w14:paraId="19ACB6FA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1D7F">
              <w:rPr>
                <w:rFonts w:ascii="Times New Roman" w:hAnsi="Times New Roman" w:cs="Times New Roman"/>
                <w:b/>
                <w:bCs/>
                <w:color w:val="26282A"/>
                <w:sz w:val="24"/>
                <w:szCs w:val="24"/>
                <w:shd w:val="clear" w:color="auto" w:fill="FFFFFF"/>
              </w:rPr>
              <w:t>Centro Materno Infantil</w:t>
            </w:r>
            <w:r w:rsidRPr="00AD285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- Rua Clímaco Pereira, 375 – Centro</w:t>
            </w:r>
          </w:p>
        </w:tc>
        <w:tc>
          <w:tcPr>
            <w:tcW w:w="1559" w:type="dxa"/>
            <w:noWrap/>
            <w:vAlign w:val="center"/>
          </w:tcPr>
          <w:p w14:paraId="11F44D3F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D285F">
              <w:rPr>
                <w:rFonts w:ascii="Times New Roman" w:eastAsia="Arial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644414BE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28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AD285F" w:rsidRPr="00AD285F" w14:paraId="615424A3" w14:textId="77777777" w:rsidTr="00AD285F">
        <w:trPr>
          <w:trHeight w:val="343"/>
          <w:jc w:val="center"/>
        </w:trPr>
        <w:tc>
          <w:tcPr>
            <w:tcW w:w="6623" w:type="dxa"/>
            <w:noWrap/>
            <w:vAlign w:val="center"/>
          </w:tcPr>
          <w:p w14:paraId="16D16F1A" w14:textId="67CDB031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1D7F">
              <w:rPr>
                <w:rFonts w:ascii="Times New Roman" w:hAnsi="Times New Roman" w:cs="Times New Roman"/>
                <w:b/>
                <w:bCs/>
                <w:color w:val="26282A"/>
                <w:sz w:val="24"/>
                <w:szCs w:val="24"/>
                <w:shd w:val="clear" w:color="auto" w:fill="FFFFFF"/>
              </w:rPr>
              <w:t>Centro de Diagnóstico e Tratamento (CDT)</w:t>
            </w:r>
            <w:r w:rsidRPr="00AD285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- End.: Rua Ary Spindola, s/nº Centro (Esquina Com Rua Pereira Neves)</w:t>
            </w:r>
            <w:r w:rsidR="009F1D7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– Maricá/RJ</w:t>
            </w:r>
          </w:p>
        </w:tc>
        <w:tc>
          <w:tcPr>
            <w:tcW w:w="1559" w:type="dxa"/>
            <w:noWrap/>
            <w:vAlign w:val="center"/>
          </w:tcPr>
          <w:p w14:paraId="7B9FF330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D285F">
              <w:rPr>
                <w:rFonts w:ascii="Times New Roman" w:eastAsia="Arial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424161DD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28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AD285F" w:rsidRPr="00AD285F" w14:paraId="41798E1B" w14:textId="77777777" w:rsidTr="00AD285F">
        <w:trPr>
          <w:trHeight w:val="343"/>
          <w:jc w:val="center"/>
        </w:trPr>
        <w:tc>
          <w:tcPr>
            <w:tcW w:w="6623" w:type="dxa"/>
            <w:noWrap/>
            <w:vAlign w:val="center"/>
          </w:tcPr>
          <w:p w14:paraId="6A87E30D" w14:textId="206C13E6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F1D7F">
              <w:rPr>
                <w:rFonts w:ascii="Times New Roman" w:hAnsi="Times New Roman" w:cs="Times New Roman"/>
                <w:b/>
                <w:bCs/>
                <w:color w:val="26282A"/>
                <w:sz w:val="24"/>
                <w:szCs w:val="24"/>
                <w:shd w:val="clear" w:color="auto" w:fill="FFFFFF"/>
              </w:rPr>
              <w:t>USF Recanto</w:t>
            </w:r>
            <w:r w:rsidRPr="00AD285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- End.: Rua Domingos Mônica Barbosa – Recanto – Itaipuaçu</w:t>
            </w:r>
            <w:r w:rsidR="009F1D7F">
              <w:rPr>
                <w:rFonts w:ascii="Times New Roman" w:hAnsi="Times New Roman" w:cs="Times New Roman"/>
                <w:color w:val="26282A"/>
                <w:sz w:val="24"/>
                <w:szCs w:val="24"/>
                <w:shd w:val="clear" w:color="auto" w:fill="FFFFFF"/>
              </w:rPr>
              <w:t xml:space="preserve"> – Maricá/RJ</w:t>
            </w:r>
          </w:p>
        </w:tc>
        <w:tc>
          <w:tcPr>
            <w:tcW w:w="1559" w:type="dxa"/>
            <w:noWrap/>
            <w:vAlign w:val="center"/>
          </w:tcPr>
          <w:p w14:paraId="7A1E58B0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D285F">
              <w:rPr>
                <w:rFonts w:ascii="Times New Roman" w:eastAsia="Arial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793D5883" w14:textId="77777777" w:rsidR="00AD285F" w:rsidRPr="00AD285F" w:rsidRDefault="00AD285F" w:rsidP="004A573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D28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</w:tbl>
    <w:p w14:paraId="2EA8D163" w14:textId="77777777" w:rsidR="000644D6" w:rsidRPr="008C5BDD" w:rsidRDefault="000644D6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Os USG portáteis </w:t>
      </w:r>
      <w:r w:rsidRPr="00C9580A">
        <w:rPr>
          <w:rFonts w:ascii="Times New Roman" w:hAnsi="Times New Roman" w:cs="Times New Roman"/>
          <w:sz w:val="24"/>
          <w:szCs w:val="24"/>
        </w:rPr>
        <w:t>deverão ser novos e entregues acondicionados em suas embalagens originais lacradas, de forma a permitir completa segurança quanto a sua originalidade e integridade, devendo estar acondicionados e embalados conforme praxe do fabricante, protegendo o produto durante o transporte e armazenamento, com indicação do material contido, volume,</w:t>
      </w:r>
      <w:r w:rsidRPr="008C5BDD">
        <w:rPr>
          <w:rFonts w:ascii="Times New Roman" w:eastAsia="Arial" w:hAnsi="Times New Roman" w:cs="Times New Roman"/>
          <w:sz w:val="24"/>
          <w:szCs w:val="24"/>
        </w:rPr>
        <w:t xml:space="preserve"> data de fabricação, fabricante, importador (se couber), procedência, bem como, demais informações exigidas na legislação pertinente.</w:t>
      </w:r>
    </w:p>
    <w:p w14:paraId="1F6F0E76" w14:textId="57CEAC42" w:rsidR="000644D6" w:rsidRPr="00841F75" w:rsidRDefault="00841F75" w:rsidP="00841F75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841F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Especificação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41F75">
        <w:rPr>
          <w:rFonts w:ascii="Times New Roman" w:hAnsi="Times New Roman" w:cs="Times New Roman"/>
          <w:b/>
          <w:bCs/>
          <w:sz w:val="24"/>
          <w:szCs w:val="24"/>
        </w:rPr>
        <w:t xml:space="preserve">a Garantia Exigida </w:t>
      </w:r>
    </w:p>
    <w:p w14:paraId="3147B34F" w14:textId="77777777" w:rsidR="000644D6" w:rsidRPr="008C5BDD" w:rsidRDefault="000644D6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garantia consiste na prestação pela empresa, de todas as obrigações previstas na Lei nº. 8.078/</w:t>
      </w:r>
      <w:r w:rsidRPr="00C9580A">
        <w:rPr>
          <w:rFonts w:ascii="Times New Roman" w:eastAsia="Arial" w:hAnsi="Times New Roman" w:cs="Times New Roman"/>
          <w:sz w:val="24"/>
          <w:szCs w:val="24"/>
        </w:rPr>
        <w:t>1990</w:t>
      </w:r>
      <w:r w:rsidRPr="008C5BDD">
        <w:rPr>
          <w:rFonts w:ascii="Times New Roman" w:hAnsi="Times New Roman" w:cs="Times New Roman"/>
          <w:sz w:val="24"/>
          <w:szCs w:val="24"/>
        </w:rPr>
        <w:t xml:space="preserve"> – Código de Defesa do Consumidor - e alterações subsequentes. </w:t>
      </w:r>
    </w:p>
    <w:p w14:paraId="4166D11E" w14:textId="69C2B1A8" w:rsidR="000644D6" w:rsidRPr="008C5BDD" w:rsidRDefault="000644D6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Os bens que apresentarem vício ou defeito no período de vigência da garantia deverão </w:t>
      </w:r>
      <w:r w:rsidRPr="00F314AE">
        <w:rPr>
          <w:rFonts w:ascii="Times New Roman" w:hAnsi="Times New Roman" w:cs="Times New Roman"/>
          <w:sz w:val="24"/>
          <w:szCs w:val="24"/>
        </w:rPr>
        <w:t xml:space="preserve">ser substituídos por outros novos, de primeiro uso, no prazo disposto pelo Item </w:t>
      </w:r>
      <w:r w:rsidR="00F6166D" w:rsidRPr="00F314AE">
        <w:rPr>
          <w:rFonts w:ascii="Times New Roman" w:hAnsi="Times New Roman" w:cs="Times New Roman"/>
          <w:sz w:val="24"/>
          <w:szCs w:val="24"/>
        </w:rPr>
        <w:t>4.</w:t>
      </w:r>
      <w:r w:rsidR="00F314AE" w:rsidRPr="00F314AE">
        <w:rPr>
          <w:rFonts w:ascii="Times New Roman" w:hAnsi="Times New Roman" w:cs="Times New Roman"/>
          <w:sz w:val="24"/>
          <w:szCs w:val="24"/>
        </w:rPr>
        <w:t>2</w:t>
      </w:r>
      <w:r w:rsidR="009C7DF2" w:rsidRPr="00F314AE">
        <w:rPr>
          <w:rFonts w:ascii="Times New Roman" w:hAnsi="Times New Roman" w:cs="Times New Roman"/>
          <w:sz w:val="24"/>
          <w:szCs w:val="24"/>
        </w:rPr>
        <w:t>4</w:t>
      </w:r>
      <w:r w:rsidR="00F6166D" w:rsidRPr="00F314AE">
        <w:rPr>
          <w:rFonts w:ascii="Times New Roman" w:hAnsi="Times New Roman" w:cs="Times New Roman"/>
          <w:sz w:val="24"/>
          <w:szCs w:val="24"/>
        </w:rPr>
        <w:t>.</w:t>
      </w:r>
      <w:r w:rsidRPr="00F314AE">
        <w:rPr>
          <w:rFonts w:ascii="Times New Roman" w:hAnsi="Times New Roman" w:cs="Times New Roman"/>
          <w:sz w:val="24"/>
          <w:szCs w:val="24"/>
        </w:rPr>
        <w:t xml:space="preserve"> deste</w:t>
      </w:r>
      <w:r w:rsidRPr="008C5BDD">
        <w:rPr>
          <w:rFonts w:ascii="Times New Roman" w:hAnsi="Times New Roman" w:cs="Times New Roman"/>
          <w:sz w:val="24"/>
          <w:szCs w:val="24"/>
        </w:rPr>
        <w:t xml:space="preserve"> Termo de Referência.</w:t>
      </w:r>
    </w:p>
    <w:p w14:paraId="676D96F5" w14:textId="20567E51" w:rsidR="000644D6" w:rsidRPr="008C5BDD" w:rsidRDefault="000644D6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O prazo indicado no subitem anterior, durante seu transcurso, poderá ser prorrogado por igual período, mediante solicitação escrita e justificada da Contratada, desde que haja anuência expressa do Contratante</w:t>
      </w:r>
      <w:r w:rsidR="000647D6" w:rsidRPr="008C5BDD">
        <w:rPr>
          <w:rFonts w:ascii="Times New Roman" w:hAnsi="Times New Roman" w:cs="Times New Roman"/>
          <w:sz w:val="24"/>
          <w:szCs w:val="24"/>
        </w:rPr>
        <w:t>.</w:t>
      </w:r>
    </w:p>
    <w:p w14:paraId="682BCAA1" w14:textId="6277ACAB" w:rsidR="000644D6" w:rsidRPr="008C5BDD" w:rsidRDefault="000644D6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Decorrido o prazo para substituição sem o atendimento da solicitação do Contratante ou a apresentação de justificativas pela Contratada, aplicar-se-ão as sanções previstas no Item 1</w:t>
      </w:r>
      <w:r w:rsidR="00F314AE">
        <w:rPr>
          <w:rFonts w:ascii="Times New Roman" w:hAnsi="Times New Roman" w:cs="Times New Roman"/>
          <w:sz w:val="24"/>
          <w:szCs w:val="24"/>
        </w:rPr>
        <w:t>6</w:t>
      </w:r>
      <w:r w:rsidRPr="008C5BDD">
        <w:rPr>
          <w:rFonts w:ascii="Times New Roman" w:hAnsi="Times New Roman" w:cs="Times New Roman"/>
          <w:sz w:val="24"/>
          <w:szCs w:val="24"/>
        </w:rPr>
        <w:t xml:space="preserve"> do presente Termo de Referência;</w:t>
      </w:r>
    </w:p>
    <w:p w14:paraId="79AB964A" w14:textId="77777777" w:rsidR="000644D6" w:rsidRPr="008C5BDD" w:rsidRDefault="000644D6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O custo referente ao transporte dos bens cobertos pela garantia será de responsabilidade da Contratada.</w:t>
      </w:r>
    </w:p>
    <w:p w14:paraId="660BD3E2" w14:textId="6610893D" w:rsidR="000644D6" w:rsidRPr="008C5BDD" w:rsidRDefault="000644D6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Casos omissos deverão observar o estabelecido na Lei n.º 8.078, de 11 de setembro de 1990 (Código de Defesa do Consumidor) e demais legislações aplicáveis.</w:t>
      </w:r>
    </w:p>
    <w:p w14:paraId="3DBB257A" w14:textId="4A437422" w:rsidR="00F6166D" w:rsidRPr="008C5BDD" w:rsidRDefault="00AD7333" w:rsidP="00C9580A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DO MODELO DE GESTÃO DO CONTRATO</w:t>
      </w:r>
    </w:p>
    <w:p w14:paraId="7A8DDA7D" w14:textId="77777777" w:rsidR="00AD7333" w:rsidRPr="008C5BDD" w:rsidRDefault="00AD7333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O contrato deverá ser executado fielmente pelas partes, de acordo com as cláusulas avençadas e as normas da Lei nº. 14.133 de 2021, e cada parte responderá pelas consequências de sua inexecução total ou parcial.</w:t>
      </w:r>
    </w:p>
    <w:p w14:paraId="0B50337F" w14:textId="77777777" w:rsidR="00AD7333" w:rsidRPr="008C5BDD" w:rsidRDefault="00AD7333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As comunicações entre a FEMAR e a contratada devem ser realizadas por escrito sempre que o ato exigir tal formalidade, admitindo-se o uso de mensagem eletrônica para esse fim.</w:t>
      </w:r>
    </w:p>
    <w:p w14:paraId="7CD1B969" w14:textId="77777777" w:rsidR="00AD7333" w:rsidRPr="008C5BDD" w:rsidRDefault="00AD7333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FEMAR poderá convocar representante da empresa para adoção de providências que devam ser cumpridas de imediato.</w:t>
      </w:r>
    </w:p>
    <w:p w14:paraId="661EA59B" w14:textId="77777777" w:rsidR="00AD7333" w:rsidRPr="008C5BDD" w:rsidRDefault="00AD7333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A execução do Contrato e o respectivo fornecimento dos materiais serão acompanhados e fiscalizados por 02 (dois) funcionários a serem designados pela Diretoria Requisitante da FEMAR, na condição de representantes da CONTRATANTE. </w:t>
      </w:r>
    </w:p>
    <w:p w14:paraId="4CE87A5C" w14:textId="77777777" w:rsidR="00AD7333" w:rsidRPr="008C5BDD" w:rsidRDefault="00AD7333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lastRenderedPageBreak/>
        <w:t>A execução do contrato deverá ser acompanhada e fiscalizada pelos fiscais do contrato, ou pelos respectivos substitutos, conforme art. 117, caput, da Lei nº 14.133/2021.</w:t>
      </w:r>
    </w:p>
    <w:p w14:paraId="3ADC2A76" w14:textId="5814CB5A" w:rsidR="00AD7333" w:rsidRPr="008C5BDD" w:rsidRDefault="00AD7333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O fiscal do contrato anotará em registro próprio todas as ocorrências relacionadas à execução do contrato, recomendando o que for necessário </w:t>
      </w:r>
      <w:r w:rsidR="00C52A95" w:rsidRPr="008C5BDD">
        <w:rPr>
          <w:rFonts w:ascii="Times New Roman" w:hAnsi="Times New Roman" w:cs="Times New Roman"/>
          <w:sz w:val="24"/>
          <w:szCs w:val="24"/>
        </w:rPr>
        <w:t>à</w:t>
      </w:r>
      <w:r w:rsidRPr="008C5BDD">
        <w:rPr>
          <w:rFonts w:ascii="Times New Roman" w:hAnsi="Times New Roman" w:cs="Times New Roman"/>
          <w:sz w:val="24"/>
          <w:szCs w:val="24"/>
        </w:rPr>
        <w:t xml:space="preserve"> regularização das faltas ou dos defeitos observados</w:t>
      </w:r>
      <w:r w:rsidR="00C52A95" w:rsidRPr="008C5BDD">
        <w:rPr>
          <w:rFonts w:ascii="Times New Roman" w:hAnsi="Times New Roman" w:cs="Times New Roman"/>
          <w:sz w:val="24"/>
          <w:szCs w:val="24"/>
        </w:rPr>
        <w:t>:</w:t>
      </w:r>
    </w:p>
    <w:p w14:paraId="1FCA7DB4" w14:textId="77777777" w:rsidR="00AD7333" w:rsidRPr="008C5BDD" w:rsidRDefault="00AD7333" w:rsidP="008C5BDD">
      <w:pPr>
        <w:pStyle w:val="PargrafodaLista"/>
        <w:numPr>
          <w:ilvl w:val="2"/>
          <w:numId w:val="1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Informar ao gestor do contrato, as ocorrências que demandem a adoção de medidas necessárias e saneadoras, bem como quaisquer ocorrências que possam inviabilizar a execução do contrato nas datas aprazadas;</w:t>
      </w:r>
    </w:p>
    <w:p w14:paraId="1128DC0A" w14:textId="409E9BC4" w:rsidR="00AD7333" w:rsidRPr="008C5BDD" w:rsidRDefault="00AD7333" w:rsidP="008C5BDD">
      <w:pPr>
        <w:pStyle w:val="PargrafodaLista"/>
        <w:numPr>
          <w:ilvl w:val="2"/>
          <w:numId w:val="1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Examinar a regularidade no recolhimento das contribuições fiscais, trabalhistas e previdenciárias e, em caso de descumprimento, informar imediatamente ao gestor do contrato para a adoção das medidas necessárias; </w:t>
      </w:r>
    </w:p>
    <w:p w14:paraId="3B8C94D5" w14:textId="1754B9CF" w:rsidR="00876452" w:rsidRPr="008C5BDD" w:rsidRDefault="00876452" w:rsidP="008C5BDD">
      <w:pPr>
        <w:pStyle w:val="PargrafodaLista"/>
        <w:numPr>
          <w:ilvl w:val="2"/>
          <w:numId w:val="1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O Gestor do Contrato deverá coordenar as atividades relacionadas à fiscalização, bem como dos atos preparatórios à instrução processual e encaminhar a documentação pertinente ao setor de contratos</w:t>
      </w:r>
      <w:r w:rsidRPr="008C5BDD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8C5BDD">
        <w:rPr>
          <w:rFonts w:ascii="Times New Roman" w:hAnsi="Times New Roman" w:cs="Times New Roman"/>
          <w:sz w:val="24"/>
          <w:szCs w:val="24"/>
        </w:rPr>
        <w:t xml:space="preserve"> para formalização dos procedimentos quanto aos aspectos que envolvam a prorrogação, alteração, reequilíbrio, pagamento, eventual aplicação de sanções, extinção dos contratos, dentre outros.</w:t>
      </w:r>
    </w:p>
    <w:p w14:paraId="22410B4F" w14:textId="00D30C54" w:rsidR="00AD7333" w:rsidRPr="008C5BDD" w:rsidRDefault="00AD7333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Fiscalização técnica deverá acompanhar o contrato com o objetivo de avaliar a execução do objeto nos moldes contratados e, se for o caso, aferir se a quantidade, qualidade, tempo e modo da prestação ou execução do objeto estão compatíveis com os indicadores estipulados no edital, para efeitos de pagamento conforme o resultado pretendido pela Diretoria Requisitante.</w:t>
      </w:r>
    </w:p>
    <w:p w14:paraId="5ECF1B59" w14:textId="54BBAD29" w:rsidR="00AD7333" w:rsidRDefault="00691615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A Fiscalização </w:t>
      </w:r>
      <w:r>
        <w:rPr>
          <w:rFonts w:ascii="Times New Roman" w:hAnsi="Times New Roman" w:cs="Times New Roman"/>
          <w:sz w:val="24"/>
          <w:szCs w:val="24"/>
        </w:rPr>
        <w:t>deverá e</w:t>
      </w:r>
      <w:r w:rsidR="00AD7333" w:rsidRPr="008C5BDD">
        <w:rPr>
          <w:rFonts w:ascii="Times New Roman" w:hAnsi="Times New Roman" w:cs="Times New Roman"/>
          <w:sz w:val="24"/>
          <w:szCs w:val="24"/>
        </w:rPr>
        <w:t>laborar relatório final, de que trata a alínea “d”, do inciso VI, do §3º do art. 174 da Lei nº 14.133/2021, com as informações quanto à execução do contrato, concluindo com as lições aprendidas, como forma de aprimoramento das atividades da FEMAR.</w:t>
      </w:r>
    </w:p>
    <w:p w14:paraId="248FB790" w14:textId="77777777" w:rsidR="006546E8" w:rsidRDefault="006546E8" w:rsidP="006546E8">
      <w:pPr>
        <w:rPr>
          <w:rFonts w:ascii="Times New Roman" w:hAnsi="Times New Roman" w:cs="Times New Roman"/>
          <w:sz w:val="24"/>
          <w:szCs w:val="24"/>
        </w:rPr>
      </w:pPr>
    </w:p>
    <w:p w14:paraId="2EF06423" w14:textId="77777777" w:rsidR="006546E8" w:rsidRPr="006546E8" w:rsidRDefault="006546E8" w:rsidP="006546E8">
      <w:pPr>
        <w:rPr>
          <w:rFonts w:ascii="Times New Roman" w:hAnsi="Times New Roman" w:cs="Times New Roman"/>
          <w:sz w:val="24"/>
          <w:szCs w:val="24"/>
        </w:rPr>
      </w:pPr>
    </w:p>
    <w:p w14:paraId="789FA6E0" w14:textId="6AC04583" w:rsidR="00863F57" w:rsidRPr="008567A6" w:rsidRDefault="00863F57" w:rsidP="008567A6">
      <w:pPr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567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</w:t>
      </w:r>
      <w:r w:rsidR="0069161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567A6">
        <w:rPr>
          <w:rFonts w:ascii="Times New Roman" w:hAnsi="Times New Roman" w:cs="Times New Roman"/>
          <w:b/>
          <w:bCs/>
          <w:sz w:val="24"/>
          <w:szCs w:val="24"/>
        </w:rPr>
        <w:t>eajuste</w:t>
      </w:r>
    </w:p>
    <w:p w14:paraId="1FB3BAEE" w14:textId="77777777" w:rsidR="00876452" w:rsidRPr="008C5BDD" w:rsidRDefault="00863F57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Os preços inicialmente contratados são fixos e irreajustáveis no prazo de um ano contado da data do orçamento estimado, conforme art. 25, § 7° da Lei n.º 14.133/2021.</w:t>
      </w:r>
    </w:p>
    <w:p w14:paraId="33B7B4F1" w14:textId="2C85AFBD" w:rsidR="00863F57" w:rsidRDefault="00863F57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Após o interregno de um ano, a contar da data do orçamento estimado, os preços iniciais serão reajustados, mediante a aplicação, pelo Contratante, do índice IPCA, exclusivamente para as obrigações iniciadas e concluídas após a ocorrência da anualidade.</w:t>
      </w:r>
    </w:p>
    <w:p w14:paraId="1B56900F" w14:textId="5B4576E6" w:rsidR="00863F57" w:rsidRPr="008C5BDD" w:rsidRDefault="00863F57" w:rsidP="00C9580A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691615">
        <w:rPr>
          <w:rFonts w:ascii="Times New Roman" w:hAnsi="Times New Roman" w:cs="Times New Roman"/>
          <w:b/>
          <w:bCs/>
          <w:sz w:val="24"/>
          <w:szCs w:val="24"/>
        </w:rPr>
        <w:t>S CRITÉRIOS DE MEDIÇÃO E</w:t>
      </w:r>
      <w:r w:rsidRPr="008C5BDD">
        <w:rPr>
          <w:rFonts w:ascii="Times New Roman" w:hAnsi="Times New Roman" w:cs="Times New Roman"/>
          <w:b/>
          <w:bCs/>
          <w:sz w:val="24"/>
          <w:szCs w:val="24"/>
        </w:rPr>
        <w:t xml:space="preserve"> PAGAMENTO</w:t>
      </w:r>
    </w:p>
    <w:p w14:paraId="02115110" w14:textId="77777777" w:rsidR="00691615" w:rsidRPr="00C9580A" w:rsidRDefault="00691615" w:rsidP="00276914">
      <w:pPr>
        <w:pStyle w:val="PargrafodaList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9580A">
        <w:rPr>
          <w:rFonts w:ascii="Times New Roman" w:hAnsi="Times New Roman" w:cs="Times New Roman"/>
          <w:b/>
          <w:bCs/>
          <w:sz w:val="24"/>
          <w:szCs w:val="24"/>
        </w:rPr>
        <w:t xml:space="preserve">Do Recebimento </w:t>
      </w:r>
    </w:p>
    <w:p w14:paraId="6D5F896F" w14:textId="7F20B1E3" w:rsidR="00691615" w:rsidRPr="00691615" w:rsidRDefault="00C9580A" w:rsidP="0030777F">
      <w:pPr>
        <w:pStyle w:val="PargrafodaLista"/>
        <w:numPr>
          <w:ilvl w:val="1"/>
          <w:numId w:val="2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91615" w:rsidRPr="00691615">
        <w:rPr>
          <w:rFonts w:ascii="Times New Roman" w:hAnsi="Times New Roman" w:cs="Times New Roman"/>
          <w:sz w:val="24"/>
          <w:szCs w:val="24"/>
        </w:rPr>
        <w:t xml:space="preserve"> recebimento dos objetos, pela FEMAR, dar-se-á por meio dos seguintes procedimentos, observando o disposto no inciso II, alíneas a e b do artigo 140 da Lei Federal nº. 14.133/21:</w:t>
      </w:r>
    </w:p>
    <w:p w14:paraId="05285121" w14:textId="0A6CD6ED" w:rsidR="00691615" w:rsidRPr="00691615" w:rsidRDefault="00691615" w:rsidP="00574BC7">
      <w:pPr>
        <w:pStyle w:val="PargrafodaLista"/>
        <w:numPr>
          <w:ilvl w:val="1"/>
          <w:numId w:val="3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691615">
        <w:rPr>
          <w:rFonts w:ascii="Times New Roman" w:hAnsi="Times New Roman" w:cs="Times New Roman"/>
          <w:sz w:val="24"/>
          <w:szCs w:val="24"/>
        </w:rPr>
        <w:t xml:space="preserve">O recebimento provisório ocorrerá, no prazo de </w:t>
      </w:r>
      <w:r w:rsidRPr="00F314AE">
        <w:rPr>
          <w:rFonts w:ascii="Times New Roman" w:hAnsi="Times New Roman" w:cs="Times New Roman"/>
          <w:b/>
          <w:bCs/>
          <w:sz w:val="24"/>
          <w:szCs w:val="24"/>
          <w:u w:val="single"/>
        </w:rPr>
        <w:t>10 (dez) dias úteis</w:t>
      </w:r>
      <w:r w:rsidRPr="00691615">
        <w:rPr>
          <w:rFonts w:ascii="Times New Roman" w:hAnsi="Times New Roman" w:cs="Times New Roman"/>
          <w:sz w:val="24"/>
          <w:szCs w:val="24"/>
        </w:rPr>
        <w:t>, a contar do ato da entrega</w:t>
      </w:r>
      <w:r w:rsidR="00F314AE">
        <w:rPr>
          <w:rFonts w:ascii="Times New Roman" w:hAnsi="Times New Roman" w:cs="Times New Roman"/>
          <w:sz w:val="24"/>
          <w:szCs w:val="24"/>
        </w:rPr>
        <w:t xml:space="preserve"> e início da prestação dos serviços</w:t>
      </w:r>
      <w:r w:rsidRPr="00691615">
        <w:rPr>
          <w:rFonts w:ascii="Times New Roman" w:hAnsi="Times New Roman" w:cs="Times New Roman"/>
          <w:sz w:val="24"/>
          <w:szCs w:val="24"/>
        </w:rPr>
        <w:t>, juntamente com a nota fiscal ou instrumento de cobrança equivalente, pelos responsáveis pelo acompanhamento e fiscalização do contrato, para efeito de posterior verificação de sua conformidade com as especificações constantes neste Termo de Referência;</w:t>
      </w:r>
    </w:p>
    <w:p w14:paraId="76BD1575" w14:textId="1A515ADC" w:rsidR="00691615" w:rsidRPr="00691615" w:rsidRDefault="00691615" w:rsidP="00F314AE">
      <w:pPr>
        <w:pStyle w:val="PargrafodaLista"/>
        <w:numPr>
          <w:ilvl w:val="0"/>
          <w:numId w:val="3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691615">
        <w:rPr>
          <w:rFonts w:ascii="Times New Roman" w:hAnsi="Times New Roman" w:cs="Times New Roman"/>
          <w:sz w:val="24"/>
          <w:szCs w:val="24"/>
        </w:rPr>
        <w:t xml:space="preserve">O recebimento definitivo ocorrerá no prazo de </w:t>
      </w:r>
      <w:r w:rsidRPr="00F314AE">
        <w:rPr>
          <w:rFonts w:ascii="Times New Roman" w:hAnsi="Times New Roman" w:cs="Times New Roman"/>
          <w:b/>
          <w:bCs/>
          <w:sz w:val="24"/>
          <w:szCs w:val="24"/>
          <w:u w:val="single"/>
        </w:rPr>
        <w:t>15 (quinze) dias úteis</w:t>
      </w:r>
      <w:r w:rsidRPr="00691615">
        <w:rPr>
          <w:rFonts w:ascii="Times New Roman" w:hAnsi="Times New Roman" w:cs="Times New Roman"/>
          <w:sz w:val="24"/>
          <w:szCs w:val="24"/>
        </w:rPr>
        <w:t>, a contar do recebimento provisório, após a verificação da conformidade do objeto descrito neste Termo de Referência e consequente aceitação mediante termo de recebimento.</w:t>
      </w:r>
    </w:p>
    <w:p w14:paraId="4EED2BBB" w14:textId="04FE1E77" w:rsidR="00691615" w:rsidRPr="00691615" w:rsidRDefault="00691615" w:rsidP="00F314AE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91615">
        <w:rPr>
          <w:rFonts w:ascii="Times New Roman" w:hAnsi="Times New Roman" w:cs="Times New Roman"/>
          <w:sz w:val="24"/>
          <w:szCs w:val="24"/>
        </w:rPr>
        <w:t>O recebimento provisório ou definitivo não excluirá a responsabilidade civil pela solidez e pela segurança da entrega do objeto, nem a responsabilidade ético-profissional pela perfeita execução do contrato, nos limites estabelecidos pela lei ou pelo contrato;</w:t>
      </w:r>
    </w:p>
    <w:p w14:paraId="7BB37315" w14:textId="27DFCD00" w:rsidR="00691615" w:rsidRPr="00691615" w:rsidRDefault="00691615" w:rsidP="00F314AE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91615">
        <w:rPr>
          <w:rFonts w:ascii="Times New Roman" w:hAnsi="Times New Roman" w:cs="Times New Roman"/>
          <w:sz w:val="24"/>
          <w:szCs w:val="24"/>
        </w:rPr>
        <w:t>Qualquer produto será recusado inteiramente caso seja entregue em desconformidade com as especificações técnicas constantes neste Termo de Referência e na proposta vencedora, bem como seja detectado que qualquer componente adquirido não seja novo, apresente vícios ou defeitos, em qualquer de suas partes ou componentes, ou em quantidade inferior ao estabelecido.</w:t>
      </w:r>
    </w:p>
    <w:p w14:paraId="742A0E90" w14:textId="48BAD271" w:rsidR="00691615" w:rsidRPr="00691615" w:rsidRDefault="00691615" w:rsidP="00F314AE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91615">
        <w:rPr>
          <w:rFonts w:ascii="Times New Roman" w:hAnsi="Times New Roman" w:cs="Times New Roman"/>
          <w:sz w:val="24"/>
          <w:szCs w:val="24"/>
        </w:rPr>
        <w:t xml:space="preserve">O prazo para a solução, pela Contratada, de inconsistências na execução do objeto ou de saneamento da nota fiscal, verificadas pela FEMAR durante a análise prévia à liquidação de despesa, não será computado para os fins do recebimento definitivo. </w:t>
      </w:r>
    </w:p>
    <w:p w14:paraId="7FE565BC" w14:textId="0C7D9550" w:rsidR="00691615" w:rsidRPr="00C9580A" w:rsidRDefault="00691615" w:rsidP="00F314AE">
      <w:pPr>
        <w:pStyle w:val="PargrafodaLista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9580A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Pagamento</w:t>
      </w:r>
    </w:p>
    <w:p w14:paraId="08540DDC" w14:textId="12EF42E1" w:rsidR="00863F57" w:rsidRPr="008C5BDD" w:rsidRDefault="00863F57" w:rsidP="00F314AE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O pagamento será efetuado em parcela única, no prazo de </w:t>
      </w:r>
      <w:r w:rsidRPr="008C5BDD">
        <w:rPr>
          <w:rFonts w:ascii="Times New Roman" w:hAnsi="Times New Roman" w:cs="Times New Roman"/>
          <w:b/>
          <w:bCs/>
          <w:sz w:val="24"/>
          <w:szCs w:val="24"/>
          <w:u w:val="single"/>
        </w:rPr>
        <w:t>30 (trinta) dias corridos</w:t>
      </w:r>
      <w:r w:rsidRPr="008C5BDD">
        <w:rPr>
          <w:rFonts w:ascii="Times New Roman" w:hAnsi="Times New Roman" w:cs="Times New Roman"/>
          <w:sz w:val="24"/>
          <w:szCs w:val="24"/>
        </w:rPr>
        <w:t xml:space="preserve"> a contar da certificação de que os itens foram aceitos de forma definitiva, mediante a apresentação de Nota Fiscal/Fatura contendo a descrição dos itens, quantidades, preços unitários e o valor total, nota de entrega atestada e comprovante de recolhimento de multas aplicadas, se houver, e dos encargos sociais, mediante depósito em conta bancária indicada pela contratada, uma vez satisfeitas as condições estabelecidas neste Termo de Referência.</w:t>
      </w:r>
    </w:p>
    <w:p w14:paraId="1BA464B3" w14:textId="380CC8FE" w:rsidR="00863F57" w:rsidRDefault="00863F57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Nota Fiscal/Fatura relativa à cobrança deverá ser emitida em nome da Fundação Estatal de Saúde de Maricá, CNPJ: 462186980001-17, com endereço à Rua Clímaco Pereira, nº 367, Lote B2-B1, Centro, Maricá/RJ, CEP: 24.902-035.</w:t>
      </w:r>
    </w:p>
    <w:p w14:paraId="2AACE10B" w14:textId="6BB4981C" w:rsidR="00C9580A" w:rsidRPr="00C9580A" w:rsidRDefault="00C9580A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9580A">
        <w:rPr>
          <w:rFonts w:ascii="Times New Roman" w:hAnsi="Times New Roman" w:cs="Times New Roman"/>
          <w:sz w:val="24"/>
          <w:szCs w:val="24"/>
        </w:rPr>
        <w:t>A Nota Fiscal/Fatura deverá ser emitida pela própria contratada, obrigatoriamente com o número de inscrição do Cadastro Nacional de Pessoa Jurídica – CNPJ apresentado nos documentos de habilitação.</w:t>
      </w:r>
    </w:p>
    <w:p w14:paraId="7E3A3BAF" w14:textId="51F9DF25" w:rsidR="00C9580A" w:rsidRPr="008C5BDD" w:rsidRDefault="00C9580A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9580A">
        <w:rPr>
          <w:rFonts w:ascii="Times New Roman" w:hAnsi="Times New Roman" w:cs="Times New Roman"/>
          <w:sz w:val="24"/>
          <w:szCs w:val="24"/>
        </w:rPr>
        <w:t>É admitido, no entanto, no caso de matriz/filial, a emissão de Nota Fiscal/Fatura por estabelecimento diverso daquele que participou da etapa pré-contratual e celebrou contrato administrativo com a FEMAR, desde que comprovado o atendimento dos requisitos de habilitação relativos à pessoa jurídica que emitiu a cobrança, principalmente no que tange à regularidade fiscal.</w:t>
      </w:r>
    </w:p>
    <w:p w14:paraId="0CB7EE36" w14:textId="77777777" w:rsidR="00863F57" w:rsidRPr="008C5BDD" w:rsidRDefault="00863F57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O pagamento se efetivará após a regular liquidação da despesa, à vista de Nota Fiscal/Fatura apresentada pelo contratado, na forma do Art. 55, §3º, inc. III do Dec. Municipal n.º 936/2022.</w:t>
      </w:r>
    </w:p>
    <w:p w14:paraId="073A5687" w14:textId="77777777" w:rsidR="00863F57" w:rsidRPr="008C5BDD" w:rsidRDefault="00863F57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Havendo erro no documento de cobrança ou outra circunstância impeditiva, a liquidação da despesa ficará pendente e o pagamento sustado até que a contratada providencie as medidas saneadoras necessárias, não ocorrendo, neste caso, quaisquer ônus por parte da contratante.</w:t>
      </w:r>
    </w:p>
    <w:p w14:paraId="4563E51B" w14:textId="62B35B3C" w:rsidR="00863F57" w:rsidRPr="008C5BDD" w:rsidRDefault="00863F57" w:rsidP="00C9580A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 xml:space="preserve">DA FORMA E CRITÉRIOS DE SELEÇÃO DE FORNECEDOR </w:t>
      </w:r>
    </w:p>
    <w:p w14:paraId="0B6A3197" w14:textId="75E253E9" w:rsidR="00863F57" w:rsidRDefault="00863F57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O fornecedor será selecionado por meio da realização de procedimento de licitação, na modalidade </w:t>
      </w:r>
      <w:r w:rsidRPr="00F645BA">
        <w:rPr>
          <w:rFonts w:ascii="Times New Roman" w:hAnsi="Times New Roman" w:cs="Times New Roman"/>
          <w:b/>
          <w:bCs/>
          <w:sz w:val="24"/>
          <w:szCs w:val="24"/>
        </w:rPr>
        <w:t>pregão</w:t>
      </w:r>
      <w:r w:rsidRPr="008C5BDD">
        <w:rPr>
          <w:rFonts w:ascii="Times New Roman" w:hAnsi="Times New Roman" w:cs="Times New Roman"/>
          <w:sz w:val="24"/>
          <w:szCs w:val="24"/>
        </w:rPr>
        <w:t xml:space="preserve">, sob a sua forma </w:t>
      </w:r>
      <w:r w:rsidRPr="00F645BA">
        <w:rPr>
          <w:rFonts w:ascii="Times New Roman" w:hAnsi="Times New Roman" w:cs="Times New Roman"/>
          <w:b/>
          <w:bCs/>
          <w:sz w:val="24"/>
          <w:szCs w:val="24"/>
        </w:rPr>
        <w:t>eletrônica</w:t>
      </w:r>
      <w:r w:rsidRPr="008C5BDD">
        <w:rPr>
          <w:rFonts w:ascii="Times New Roman" w:hAnsi="Times New Roman" w:cs="Times New Roman"/>
          <w:sz w:val="24"/>
          <w:szCs w:val="24"/>
        </w:rPr>
        <w:t xml:space="preserve">, com adoção do critério de julgamento </w:t>
      </w:r>
      <w:r w:rsidRPr="00F645BA">
        <w:rPr>
          <w:rFonts w:ascii="Times New Roman" w:hAnsi="Times New Roman" w:cs="Times New Roman"/>
          <w:b/>
          <w:bCs/>
          <w:sz w:val="24"/>
          <w:szCs w:val="24"/>
        </w:rPr>
        <w:t xml:space="preserve">menor preço </w:t>
      </w:r>
      <w:r w:rsidR="00F645BA" w:rsidRPr="00F645BA">
        <w:rPr>
          <w:rFonts w:ascii="Times New Roman" w:hAnsi="Times New Roman" w:cs="Times New Roman"/>
          <w:b/>
          <w:bCs/>
          <w:sz w:val="24"/>
          <w:szCs w:val="24"/>
        </w:rPr>
        <w:t>por grupo (grupo único)</w:t>
      </w:r>
      <w:r w:rsidR="00F645BA">
        <w:rPr>
          <w:rFonts w:ascii="Times New Roman" w:hAnsi="Times New Roman" w:cs="Times New Roman"/>
          <w:sz w:val="24"/>
          <w:szCs w:val="24"/>
        </w:rPr>
        <w:t xml:space="preserve">, pelo modo de disputa </w:t>
      </w:r>
      <w:r w:rsidR="00F645BA" w:rsidRPr="00F645BA">
        <w:rPr>
          <w:rFonts w:ascii="Times New Roman" w:hAnsi="Times New Roman" w:cs="Times New Roman"/>
          <w:b/>
          <w:bCs/>
          <w:sz w:val="24"/>
          <w:szCs w:val="24"/>
        </w:rPr>
        <w:t>aberto</w:t>
      </w:r>
      <w:r w:rsidRPr="008C5BDD">
        <w:rPr>
          <w:rFonts w:ascii="Times New Roman" w:hAnsi="Times New Roman" w:cs="Times New Roman"/>
          <w:sz w:val="24"/>
          <w:szCs w:val="24"/>
        </w:rPr>
        <w:t>.</w:t>
      </w:r>
    </w:p>
    <w:p w14:paraId="2768F054" w14:textId="4BBDA2D6" w:rsidR="00F645BA" w:rsidRPr="00F645BA" w:rsidRDefault="00F645BA" w:rsidP="00F645BA">
      <w:pPr>
        <w:pStyle w:val="PargrafodaLista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45BA">
        <w:rPr>
          <w:rFonts w:ascii="Times New Roman" w:hAnsi="Times New Roman" w:cs="Times New Roman"/>
          <w:b/>
          <w:bCs/>
          <w:sz w:val="24"/>
          <w:szCs w:val="24"/>
        </w:rPr>
        <w:t>Regime de Execução</w:t>
      </w:r>
    </w:p>
    <w:p w14:paraId="7F10918D" w14:textId="62850DAD" w:rsidR="00F645BA" w:rsidRPr="008C5BDD" w:rsidRDefault="00614375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14375">
        <w:rPr>
          <w:rFonts w:ascii="Times New Roman" w:hAnsi="Times New Roman" w:cs="Times New Roman"/>
          <w:sz w:val="24"/>
          <w:szCs w:val="24"/>
        </w:rPr>
        <w:t xml:space="preserve">O regime de execução do contrato será o de </w:t>
      </w:r>
      <w:r w:rsidRPr="00614375">
        <w:rPr>
          <w:rFonts w:ascii="Times New Roman" w:hAnsi="Times New Roman" w:cs="Times New Roman"/>
          <w:b/>
          <w:bCs/>
          <w:sz w:val="24"/>
          <w:szCs w:val="24"/>
        </w:rPr>
        <w:t>empreitada pro preço global</w:t>
      </w:r>
      <w:r w:rsidRPr="00614375">
        <w:rPr>
          <w:rFonts w:ascii="Times New Roman" w:hAnsi="Times New Roman" w:cs="Times New Roman"/>
          <w:sz w:val="24"/>
          <w:szCs w:val="24"/>
        </w:rPr>
        <w:t>.</w:t>
      </w:r>
    </w:p>
    <w:p w14:paraId="6ACAC7B4" w14:textId="0A4FFA0E" w:rsidR="00CB499B" w:rsidRPr="008567A6" w:rsidRDefault="00CB499B" w:rsidP="008567A6">
      <w:pPr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567A6">
        <w:rPr>
          <w:rFonts w:ascii="Times New Roman" w:hAnsi="Times New Roman" w:cs="Times New Roman"/>
          <w:b/>
          <w:bCs/>
          <w:sz w:val="24"/>
          <w:szCs w:val="24"/>
        </w:rPr>
        <w:lastRenderedPageBreak/>
        <w:t>Da Habilitação Técnica (Art. 67, Lei nº 14.133/2021)</w:t>
      </w:r>
    </w:p>
    <w:p w14:paraId="005C3D41" w14:textId="77777777" w:rsidR="00CB499B" w:rsidRPr="008C5BDD" w:rsidRDefault="00CB499B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Os critérios de habilitação técnica a serem atendidos pelo fornecedor serão:</w:t>
      </w:r>
    </w:p>
    <w:p w14:paraId="2B60F6CE" w14:textId="77777777" w:rsidR="00CB499B" w:rsidRPr="008C5BDD" w:rsidRDefault="00CB499B" w:rsidP="00C9580A">
      <w:pPr>
        <w:pStyle w:val="PargrafodaLista"/>
        <w:numPr>
          <w:ilvl w:val="1"/>
          <w:numId w:val="3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01 (um) atestado, no mínimo, emitido por pessoa jurídica de direito público ou privado, em nome da Licitante, que comprove a aptidão para desempenho de atividade pertinente e compatível em características e quantidades com o objeto deste Termo de Referência, de forma satisfatória, demonstrando que a Licitante fornece ou forneceu objeto de natureza similar;</w:t>
      </w:r>
    </w:p>
    <w:p w14:paraId="26233C01" w14:textId="77777777" w:rsidR="00CB499B" w:rsidRPr="008C5BDD" w:rsidRDefault="00CB499B" w:rsidP="00C9580A">
      <w:pPr>
        <w:pStyle w:val="PargrafodaLista"/>
        <w:numPr>
          <w:ilvl w:val="1"/>
          <w:numId w:val="3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fim de comprovar os requisitos acima, a Licitante, caso julgue necessário, poderá encaminhar, juntamente com o atestado, cópias de contratos, Ordens de Serviços (devidamente assinadas), Notas de Empenho, Notas Fiscais/Faturas ou outros documentos equivalentes.</w:t>
      </w:r>
    </w:p>
    <w:p w14:paraId="238F29E0" w14:textId="77777777" w:rsidR="00CB499B" w:rsidRPr="008C5BDD" w:rsidRDefault="00CB499B" w:rsidP="00C9580A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DA PARTICIPAÇÃO DE MICROEMPRESAS E EMPRESAS DE PEQUENO PORTE</w:t>
      </w:r>
    </w:p>
    <w:p w14:paraId="0F72B51E" w14:textId="5A30BF1F" w:rsidR="00282222" w:rsidRPr="008C5BDD" w:rsidRDefault="00282222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Aplicar-se-á a norma prevista pelo art. 49, III da Lei Complementar nº 123, de 14 de dezembro de 2006, afastado, portanto, o tratamento diferenciado às microempresas ou empresas de pequeno porte, pois ocorreria perda de economia de escala e representaria prejuízo ao conjunto do objeto a ser contratado e, consequentemente, traria prejuízos à Administração Pública Municipal.   </w:t>
      </w:r>
    </w:p>
    <w:p w14:paraId="5842A185" w14:textId="61B1701F" w:rsidR="00CB499B" w:rsidRPr="008C5BDD" w:rsidRDefault="00AD11C5" w:rsidP="00C9580A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DAS EMPRESAS REUNIDAS EM CONSÓRCIO</w:t>
      </w:r>
    </w:p>
    <w:p w14:paraId="4FA5564D" w14:textId="75A10CB7" w:rsidR="00F314AE" w:rsidRPr="00F314AE" w:rsidRDefault="00F314AE" w:rsidP="00F314AE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4AE">
        <w:rPr>
          <w:rFonts w:ascii="Times New Roman" w:eastAsia="Times New Roman" w:hAnsi="Times New Roman" w:cs="Times New Roman"/>
          <w:color w:val="000000"/>
          <w:sz w:val="24"/>
          <w:szCs w:val="24"/>
        </w:rPr>
        <w:t>Será vedada a participação de empresas reunidas em consórcio, não havendo elementos que justifiquem tal participação no objetivo em apreço. O objeto em questão não se reveste de alta complexidade.</w:t>
      </w:r>
    </w:p>
    <w:p w14:paraId="772A31F5" w14:textId="3312ADD1" w:rsidR="00AD11C5" w:rsidRPr="008C5BDD" w:rsidRDefault="00AD11C5" w:rsidP="00C9580A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DA PARTICIPAÇÃO DAS COOPERATIVAS</w:t>
      </w:r>
    </w:p>
    <w:p w14:paraId="42DFA88F" w14:textId="77777777" w:rsidR="00AD11C5" w:rsidRDefault="00AD11C5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Será vedada a participação de Sociedades Cooperativas, tendo em vista a natureza do objeto a ser contratado, bem como considerando a vedação contida no Art. 10 da Instrução Normativa SEGES/MP n.º 5 de 26 de maio de 2017 c/c Instrução Normativa SEGES/MP nº 98 de 26 de dezembro de 2022.</w:t>
      </w:r>
    </w:p>
    <w:p w14:paraId="0C9BA604" w14:textId="77777777" w:rsidR="006546E8" w:rsidRDefault="006546E8" w:rsidP="006546E8">
      <w:pPr>
        <w:rPr>
          <w:rFonts w:ascii="Times New Roman" w:hAnsi="Times New Roman" w:cs="Times New Roman"/>
          <w:sz w:val="24"/>
          <w:szCs w:val="24"/>
        </w:rPr>
      </w:pPr>
    </w:p>
    <w:p w14:paraId="3BF786C8" w14:textId="77777777" w:rsidR="006546E8" w:rsidRPr="006546E8" w:rsidRDefault="006546E8" w:rsidP="006546E8">
      <w:pPr>
        <w:rPr>
          <w:rFonts w:ascii="Times New Roman" w:hAnsi="Times New Roman" w:cs="Times New Roman"/>
          <w:sz w:val="24"/>
          <w:szCs w:val="24"/>
        </w:rPr>
      </w:pPr>
    </w:p>
    <w:p w14:paraId="14949549" w14:textId="07B3FD2D" w:rsidR="00AD11C5" w:rsidRPr="008C5BDD" w:rsidRDefault="00AD11C5" w:rsidP="00C9580A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lastRenderedPageBreak/>
        <w:t>DA OBRIGAÇÃO DAS PARTES</w:t>
      </w:r>
    </w:p>
    <w:p w14:paraId="46A1AE85" w14:textId="77777777" w:rsidR="00AD11C5" w:rsidRPr="008C5BDD" w:rsidRDefault="00AD11C5" w:rsidP="008C5BDD">
      <w:pPr>
        <w:pStyle w:val="PargrafodaLista"/>
        <w:ind w:left="0"/>
        <w:contextualSpacing w:val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Das Obrigações da Contratada</w:t>
      </w:r>
    </w:p>
    <w:p w14:paraId="43B109B2" w14:textId="77777777" w:rsidR="00AD11C5" w:rsidRPr="008C5BDD" w:rsidRDefault="00AD11C5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É de responsabilidade da CONTRATADA:</w:t>
      </w:r>
    </w:p>
    <w:p w14:paraId="79CDC249" w14:textId="77777777" w:rsidR="00AD11C5" w:rsidRPr="008C5BDD" w:rsidRDefault="00AD11C5" w:rsidP="00574BC7">
      <w:pPr>
        <w:pStyle w:val="PargrafodaLista"/>
        <w:numPr>
          <w:ilvl w:val="2"/>
          <w:numId w:val="39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Efetuar a entrega do objeto em perfeitas condições, conforme especificações, prazo e local constantes no Termo de Referência, acompanhado da respectiva nota fiscal; </w:t>
      </w:r>
    </w:p>
    <w:p w14:paraId="65A35571" w14:textId="77777777" w:rsidR="00AD11C5" w:rsidRPr="008C5BDD" w:rsidRDefault="00AD11C5" w:rsidP="00574BC7">
      <w:pPr>
        <w:pStyle w:val="PargrafodaLista"/>
        <w:numPr>
          <w:ilvl w:val="2"/>
          <w:numId w:val="39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Responsabilizar-se pelos vícios e danos decorrentes do objeto, de acordo com os artigos 12, 13 e 17 a 27 do Código de Defesa do Consumidor – Lei n.º 8.078/1990;</w:t>
      </w:r>
    </w:p>
    <w:p w14:paraId="4611B1AF" w14:textId="77777777" w:rsidR="00AD11C5" w:rsidRPr="008C5BDD" w:rsidRDefault="00AD11C5" w:rsidP="00574BC7">
      <w:pPr>
        <w:pStyle w:val="PargrafodaLista"/>
        <w:numPr>
          <w:ilvl w:val="2"/>
          <w:numId w:val="39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Manter-se, durante toda a execução do contrato, em compatibilidade com as obrigações assumidas, as condições de habilitação e qualificação exigidas;</w:t>
      </w:r>
    </w:p>
    <w:p w14:paraId="2FDA540D" w14:textId="77777777" w:rsidR="00AD11C5" w:rsidRPr="008C5BDD" w:rsidRDefault="00AD11C5" w:rsidP="00574BC7">
      <w:pPr>
        <w:pStyle w:val="PargrafodaLista"/>
        <w:numPr>
          <w:ilvl w:val="2"/>
          <w:numId w:val="39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Indicar preposto para representá-la durante a execução do contrato; </w:t>
      </w:r>
    </w:p>
    <w:p w14:paraId="65D74984" w14:textId="77777777" w:rsidR="00AD11C5" w:rsidRPr="008C5BDD" w:rsidRDefault="00AD11C5" w:rsidP="00574BC7">
      <w:pPr>
        <w:pStyle w:val="PargrafodaLista"/>
        <w:numPr>
          <w:ilvl w:val="2"/>
          <w:numId w:val="39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Responsabilizar-se pelos encargos fiscais, comerciais e trabalhistas, resultantes da execução do contrato, devendo, portanto, responsabilizar-se por todos os ônus referentes a entrega dos produtos na Diretoria de Atenção à Saúde, na forma da Lei nº 14.133/2021, art. 121, caput e §1º;</w:t>
      </w:r>
    </w:p>
    <w:p w14:paraId="0F2C4225" w14:textId="77777777" w:rsidR="00AD11C5" w:rsidRPr="008C5BDD" w:rsidRDefault="00AD11C5" w:rsidP="00574BC7">
      <w:pPr>
        <w:pStyle w:val="PargrafodaLista"/>
        <w:numPr>
          <w:ilvl w:val="2"/>
          <w:numId w:val="39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Responder pelos danos causados diretamente à Administração desta Fundação ou a terceiros, decorrentes de sua culpa ou dolo, quando da entrega dos materiais, não excluindo ou reduzindo essa responsabilidade a fiscalização ou o acompanhamento pela FEMAR, na forma da Lei nº 14.133/2021, art. 120;</w:t>
      </w:r>
    </w:p>
    <w:p w14:paraId="2FF23C37" w14:textId="77777777" w:rsidR="00AD11C5" w:rsidRPr="008C5BDD" w:rsidRDefault="00AD11C5" w:rsidP="00574BC7">
      <w:pPr>
        <w:pStyle w:val="PargrafodaLista"/>
        <w:numPr>
          <w:ilvl w:val="2"/>
          <w:numId w:val="39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Apresentar, sempre que solicitada, documentos que comprovem a procedência do produto fornecido;</w:t>
      </w:r>
    </w:p>
    <w:p w14:paraId="7AFCDB59" w14:textId="466AF8D5" w:rsidR="00AD11C5" w:rsidRPr="008C5BDD" w:rsidRDefault="00AD11C5" w:rsidP="00574BC7">
      <w:pPr>
        <w:pStyle w:val="PargrafodaLista"/>
        <w:numPr>
          <w:ilvl w:val="2"/>
          <w:numId w:val="39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Acatar as instruções emanadas da fiscalização.</w:t>
      </w:r>
      <w:r w:rsidRPr="008C5BDD">
        <w:rPr>
          <w:rFonts w:ascii="Times New Roman" w:hAnsi="Times New Roman" w:cs="Times New Roman"/>
          <w:sz w:val="24"/>
          <w:szCs w:val="24"/>
        </w:rPr>
        <w:tab/>
      </w:r>
    </w:p>
    <w:p w14:paraId="1496A95E" w14:textId="77777777" w:rsidR="00AD11C5" w:rsidRPr="008C5BDD" w:rsidRDefault="00AD11C5" w:rsidP="008C5BDD">
      <w:pPr>
        <w:pStyle w:val="PargrafodaLista"/>
        <w:ind w:left="0"/>
        <w:contextualSpacing w:val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Das Obrigações da Contratante</w:t>
      </w:r>
    </w:p>
    <w:p w14:paraId="72EC2914" w14:textId="77777777" w:rsidR="00AD11C5" w:rsidRPr="008C5BDD" w:rsidRDefault="00AD11C5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É de responsabilidade da CONTRATANTE:</w:t>
      </w:r>
    </w:p>
    <w:p w14:paraId="68F0CB5D" w14:textId="77777777" w:rsidR="00AD11C5" w:rsidRPr="008C5BDD" w:rsidRDefault="00AD11C5" w:rsidP="00574BC7">
      <w:pPr>
        <w:pStyle w:val="PargrafodaLista"/>
        <w:numPr>
          <w:ilvl w:val="2"/>
          <w:numId w:val="40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Receber o objeto no prazo e condições estabelecidas no Termo de Referência;</w:t>
      </w:r>
    </w:p>
    <w:p w14:paraId="78B6AC96" w14:textId="77777777" w:rsidR="00AD11C5" w:rsidRPr="008C5BDD" w:rsidRDefault="00AD11C5" w:rsidP="00574BC7">
      <w:pPr>
        <w:pStyle w:val="PargrafodaLista"/>
        <w:numPr>
          <w:ilvl w:val="2"/>
          <w:numId w:val="40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Verificar minuciosamente, no prazo fixado, a conformidade dos materiais recebidos provisoriamente com as especificações constantes neste Termo e na proposta, para fins de aceitação e recebimento definitivo; </w:t>
      </w:r>
    </w:p>
    <w:p w14:paraId="1307F5B9" w14:textId="77777777" w:rsidR="00AD11C5" w:rsidRPr="008C5BDD" w:rsidRDefault="00AD11C5" w:rsidP="00574BC7">
      <w:pPr>
        <w:pStyle w:val="PargrafodaLista"/>
        <w:numPr>
          <w:ilvl w:val="2"/>
          <w:numId w:val="40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lastRenderedPageBreak/>
        <w:t xml:space="preserve">Comunicar à Contratada, por escrito, sobre imperfeições, falhas ou irregularidades verificadas no objeto fornecido, para que seja substituído, reparado ou corrigido; </w:t>
      </w:r>
    </w:p>
    <w:p w14:paraId="336A7E2B" w14:textId="77777777" w:rsidR="00AD11C5" w:rsidRPr="008C5BDD" w:rsidRDefault="00AD11C5" w:rsidP="00574BC7">
      <w:pPr>
        <w:pStyle w:val="PargrafodaLista"/>
        <w:numPr>
          <w:ilvl w:val="2"/>
          <w:numId w:val="40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Acompanhar e fiscalizar o cumprimento das obrigações da Contratada, através dos fiscais de contrato;</w:t>
      </w:r>
    </w:p>
    <w:p w14:paraId="177707CC" w14:textId="77777777" w:rsidR="00AD11C5" w:rsidRPr="008C5BDD" w:rsidRDefault="00AD11C5" w:rsidP="00574BC7">
      <w:pPr>
        <w:pStyle w:val="PargrafodaLista"/>
        <w:numPr>
          <w:ilvl w:val="2"/>
          <w:numId w:val="40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Administração não responderá por quaisquer compromissos assumidos pela Contratada com terceiros, incluindo encargos tributários e trabalhistas, ainda que vinculados à execução do presente Termo de Contrato, bem como por qualquer dano causado a terceiros em decorrência de ato da Contratada, de seus empregados, prepostos ou subordinados.</w:t>
      </w:r>
    </w:p>
    <w:p w14:paraId="4C72DE39" w14:textId="77777777" w:rsidR="00AD11C5" w:rsidRPr="008C5BDD" w:rsidRDefault="00AD11C5" w:rsidP="00574BC7">
      <w:pPr>
        <w:pStyle w:val="PargrafodaLista"/>
        <w:numPr>
          <w:ilvl w:val="2"/>
          <w:numId w:val="40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Designar funcionários, para acompanhar e fiscalizar o cumprimento contratual, bem como para aprovar a execução do objeto, exercer o acompanhamento e fiscalização do contrato;</w:t>
      </w:r>
    </w:p>
    <w:p w14:paraId="6DC404A0" w14:textId="77777777" w:rsidR="00AD11C5" w:rsidRPr="008C5BDD" w:rsidRDefault="00AD11C5" w:rsidP="00574BC7">
      <w:pPr>
        <w:pStyle w:val="PargrafodaLista"/>
        <w:numPr>
          <w:ilvl w:val="2"/>
          <w:numId w:val="40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Exigir da Contratada, sempre que necessário, a comprovação da manutenção das condições de habilitação e de qualificação exigidas no procedimento de contratação;</w:t>
      </w:r>
    </w:p>
    <w:p w14:paraId="13F258C0" w14:textId="77777777" w:rsidR="00AD11C5" w:rsidRPr="008C5BDD" w:rsidRDefault="00AD11C5" w:rsidP="00574BC7">
      <w:pPr>
        <w:pStyle w:val="PargrafodaLista"/>
        <w:numPr>
          <w:ilvl w:val="2"/>
          <w:numId w:val="40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Efetuar o pagamento devido, após o adimplemento da obrigação, no prazo e forma estabelecidos no Termo de Referência, mediante Nota Fiscal/fatura devidamente atestada, desde que cumpridas todas as formalidades e as exigências da contratação;</w:t>
      </w:r>
    </w:p>
    <w:p w14:paraId="53438382" w14:textId="77777777" w:rsidR="00AD11C5" w:rsidRPr="008C5BDD" w:rsidRDefault="00AD11C5" w:rsidP="00574BC7">
      <w:pPr>
        <w:pStyle w:val="PargrafodaLista"/>
        <w:numPr>
          <w:ilvl w:val="2"/>
          <w:numId w:val="40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Anotar em registro próprio e notificar a Contratada sobre quaisquer falhas verificadas no cumprimento contratual, para fins de correção dentro do prazo estabelecido.</w:t>
      </w:r>
    </w:p>
    <w:p w14:paraId="1C1FFE2E" w14:textId="205F4EA9" w:rsidR="00AD11C5" w:rsidRPr="008C5BDD" w:rsidRDefault="00AD11C5" w:rsidP="00C9580A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DA VALIDADE DAS PROPOSTAS</w:t>
      </w:r>
    </w:p>
    <w:p w14:paraId="705366ED" w14:textId="11D5621F" w:rsidR="00AD11C5" w:rsidRPr="008C5BDD" w:rsidRDefault="00AD11C5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As propostas apresentadas no certame licitatório deverão ser válidas por, no mínimo, 90 (noventa) dias, contados a partir da data de abertura do certame, na forma do art. 90, §3º da Lei n.º 14.133/2021, a saber:</w:t>
      </w:r>
    </w:p>
    <w:p w14:paraId="4AA08051" w14:textId="77777777" w:rsidR="00AD11C5" w:rsidRPr="00066E20" w:rsidRDefault="00AD11C5" w:rsidP="00AD11C5">
      <w:pPr>
        <w:pStyle w:val="PargrafodaLista"/>
        <w:spacing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066E20">
        <w:rPr>
          <w:rFonts w:ascii="Times New Roman" w:hAnsi="Times New Roman" w:cs="Times New Roman"/>
          <w:sz w:val="20"/>
          <w:szCs w:val="20"/>
        </w:rPr>
        <w:t>Art. 90. A Administração convocará regularmente o licitante vencedor para assinar o termo de contrato ou para aceitar ou retirar o instrumento equivalente, dentro do prazo e nas condições estabelecidas no edital de licitação, sob pena de decair o direito à contratação, sem prejuízo das sanções previstas nesta Lei.</w:t>
      </w:r>
    </w:p>
    <w:p w14:paraId="0A6784C3" w14:textId="77777777" w:rsidR="00AD11C5" w:rsidRPr="00066E20" w:rsidRDefault="00AD11C5" w:rsidP="00AD11C5">
      <w:pPr>
        <w:pStyle w:val="PargrafodaLista"/>
        <w:spacing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066E20">
        <w:rPr>
          <w:rFonts w:ascii="Times New Roman" w:hAnsi="Times New Roman" w:cs="Times New Roman"/>
          <w:sz w:val="20"/>
          <w:szCs w:val="20"/>
        </w:rPr>
        <w:t>(...)</w:t>
      </w:r>
    </w:p>
    <w:p w14:paraId="405CDE71" w14:textId="77777777" w:rsidR="00AD11C5" w:rsidRDefault="00AD11C5" w:rsidP="00AD11C5">
      <w:pPr>
        <w:pStyle w:val="PargrafodaLista"/>
        <w:spacing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066E20">
        <w:rPr>
          <w:rFonts w:ascii="Times New Roman" w:hAnsi="Times New Roman" w:cs="Times New Roman"/>
          <w:sz w:val="20"/>
          <w:szCs w:val="20"/>
        </w:rPr>
        <w:t>§ 3º Decorrido o prazo de validade da proposta indicado no edital sem convocação para a contratação, ficarão os licitantes liberados dos compromissos assumidos.</w:t>
      </w:r>
    </w:p>
    <w:p w14:paraId="23372D44" w14:textId="77777777" w:rsidR="006546E8" w:rsidRDefault="006546E8" w:rsidP="00AD11C5">
      <w:pPr>
        <w:pStyle w:val="PargrafodaLista"/>
        <w:spacing w:line="240" w:lineRule="auto"/>
        <w:ind w:left="2268"/>
        <w:rPr>
          <w:rFonts w:ascii="Times New Roman" w:hAnsi="Times New Roman" w:cs="Times New Roman"/>
          <w:sz w:val="20"/>
          <w:szCs w:val="20"/>
        </w:rPr>
      </w:pPr>
    </w:p>
    <w:p w14:paraId="0A977636" w14:textId="77777777" w:rsidR="008C5BDD" w:rsidRPr="00066E20" w:rsidRDefault="008C5BDD" w:rsidP="00AD11C5">
      <w:pPr>
        <w:pStyle w:val="PargrafodaLista"/>
        <w:spacing w:line="240" w:lineRule="auto"/>
        <w:ind w:left="2268"/>
        <w:rPr>
          <w:rFonts w:ascii="Times New Roman" w:hAnsi="Times New Roman" w:cs="Times New Roman"/>
          <w:sz w:val="20"/>
          <w:szCs w:val="20"/>
        </w:rPr>
      </w:pPr>
    </w:p>
    <w:p w14:paraId="7C31EA75" w14:textId="16A08C9E" w:rsidR="00AD11C5" w:rsidRPr="008C5BDD" w:rsidRDefault="00AD11C5" w:rsidP="00C9580A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DA </w:t>
      </w:r>
      <w:r w:rsidR="007758E4" w:rsidRPr="008C5BDD">
        <w:rPr>
          <w:rFonts w:ascii="Times New Roman" w:hAnsi="Times New Roman" w:cs="Times New Roman"/>
          <w:b/>
          <w:bCs/>
          <w:sz w:val="24"/>
          <w:szCs w:val="24"/>
        </w:rPr>
        <w:t>ESTIMATIVA DE VALOR DA CONTRATAÇÃO</w:t>
      </w:r>
    </w:p>
    <w:p w14:paraId="79AED2A0" w14:textId="77777777" w:rsidR="00836EE3" w:rsidRPr="00836EE3" w:rsidRDefault="00836EE3" w:rsidP="00836EE3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36EE3">
        <w:rPr>
          <w:rFonts w:ascii="Times New Roman" w:hAnsi="Times New Roman" w:cs="Times New Roman"/>
          <w:sz w:val="24"/>
          <w:szCs w:val="24"/>
        </w:rPr>
        <w:t xml:space="preserve">O valor deverá ser estimado </w:t>
      </w:r>
      <w:r w:rsidRPr="00836EE3">
        <w:rPr>
          <w:rFonts w:ascii="Times New Roman" w:hAnsi="Times New Roman" w:cs="Times New Roman"/>
          <w:b/>
          <w:sz w:val="24"/>
          <w:szCs w:val="24"/>
          <w:u w:val="single"/>
        </w:rPr>
        <w:t>após pesquisa de mercado a ser realizada pela Superintendência de Compras</w:t>
      </w:r>
      <w:r w:rsidRPr="00836EE3">
        <w:rPr>
          <w:rFonts w:ascii="Times New Roman" w:hAnsi="Times New Roman" w:cs="Times New Roman"/>
          <w:sz w:val="24"/>
          <w:szCs w:val="24"/>
        </w:rPr>
        <w:t>, nos termos do Decreto Municipal n° 936/2022.</w:t>
      </w:r>
    </w:p>
    <w:p w14:paraId="32A591AC" w14:textId="4001219C" w:rsidR="002E15EF" w:rsidRPr="00836EE3" w:rsidRDefault="002E15EF" w:rsidP="00C9580A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 w:rsidRPr="00836EE3">
        <w:rPr>
          <w:rFonts w:ascii="Times New Roman" w:hAnsi="Times New Roman" w:cs="Times New Roman"/>
          <w:b/>
          <w:bCs/>
          <w:sz w:val="24"/>
          <w:szCs w:val="24"/>
        </w:rPr>
        <w:t>DA ADEQUAÇÃO ORÇAMENTÁRIA</w:t>
      </w:r>
    </w:p>
    <w:p w14:paraId="31DF1494" w14:textId="5BE0D379" w:rsidR="002E15EF" w:rsidRPr="00836EE3" w:rsidRDefault="00836EE3" w:rsidP="00836EE3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132114351"/>
      <w:r w:rsidRPr="00836EE3">
        <w:rPr>
          <w:rFonts w:ascii="Times New Roman" w:hAnsi="Times New Roman" w:cs="Times New Roman"/>
          <w:sz w:val="24"/>
          <w:szCs w:val="24"/>
        </w:rPr>
        <w:t>Os recursos orçamentários decorrentes da presente contratação correrão à conta dos recursos informados pela Diretoria Financeira, conforme Art. 12°, inciso IV do Decreto n.º 936/2022.</w:t>
      </w:r>
    </w:p>
    <w:bookmarkEnd w:id="1"/>
    <w:p w14:paraId="41E1FF7F" w14:textId="77777777" w:rsidR="007758E4" w:rsidRPr="00066E20" w:rsidRDefault="007758E4" w:rsidP="007758E4">
      <w:pPr>
        <w:shd w:val="clear" w:color="auto" w:fill="B5D8E9"/>
        <w:rPr>
          <w:rFonts w:ascii="Times New Roman" w:hAnsi="Times New Roman" w:cs="Times New Roman"/>
          <w:i/>
          <w:iCs/>
          <w:sz w:val="4"/>
          <w:szCs w:val="4"/>
        </w:rPr>
      </w:pPr>
    </w:p>
    <w:p w14:paraId="0B51651F" w14:textId="5ABA7287" w:rsidR="003E6998" w:rsidRPr="00C9580A" w:rsidRDefault="003E6998" w:rsidP="00C9580A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9580A">
        <w:rPr>
          <w:rFonts w:ascii="Times New Roman" w:hAnsi="Times New Roman" w:cs="Times New Roman"/>
          <w:b/>
          <w:bCs/>
          <w:sz w:val="24"/>
          <w:szCs w:val="24"/>
        </w:rPr>
        <w:t xml:space="preserve">DAS INFRAÇÕES E SANÇÕES ADMINISTRATIVAS </w:t>
      </w:r>
    </w:p>
    <w:p w14:paraId="0128E196" w14:textId="77777777" w:rsidR="007758E4" w:rsidRPr="00066E20" w:rsidRDefault="007758E4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Comete infração administrativa, nos termos da Lei nº. 14.133, de 2021, o Contratado que:</w:t>
      </w:r>
    </w:p>
    <w:p w14:paraId="1862FB4E" w14:textId="2E954054" w:rsidR="007758E4" w:rsidRPr="00066E20" w:rsidRDefault="003E6998" w:rsidP="001703B5">
      <w:pPr>
        <w:pStyle w:val="PargrafodaLista"/>
        <w:numPr>
          <w:ilvl w:val="2"/>
          <w:numId w:val="4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D</w:t>
      </w:r>
      <w:r w:rsidR="007758E4" w:rsidRPr="00066E20">
        <w:rPr>
          <w:rFonts w:ascii="Times New Roman" w:hAnsi="Times New Roman" w:cs="Times New Roman"/>
          <w:sz w:val="24"/>
          <w:szCs w:val="24"/>
        </w:rPr>
        <w:t>er causa à inexecução parcial do contrato;</w:t>
      </w:r>
    </w:p>
    <w:p w14:paraId="284FA193" w14:textId="3BDAB694" w:rsidR="007758E4" w:rsidRPr="00066E20" w:rsidRDefault="003E6998" w:rsidP="001703B5">
      <w:pPr>
        <w:pStyle w:val="PargrafodaLista"/>
        <w:numPr>
          <w:ilvl w:val="2"/>
          <w:numId w:val="4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D</w:t>
      </w:r>
      <w:r w:rsidR="007758E4" w:rsidRPr="00066E20">
        <w:rPr>
          <w:rFonts w:ascii="Times New Roman" w:hAnsi="Times New Roman" w:cs="Times New Roman"/>
          <w:sz w:val="24"/>
          <w:szCs w:val="24"/>
        </w:rPr>
        <w:t>er causa à inexecução parcial do contrato que cause grave dano à Administração ou ao funcionamento dos serviços públicos ou ao interesse coletivo;</w:t>
      </w:r>
    </w:p>
    <w:p w14:paraId="11F65943" w14:textId="69EA8965" w:rsidR="007758E4" w:rsidRPr="00066E20" w:rsidRDefault="003E6998" w:rsidP="001703B5">
      <w:pPr>
        <w:pStyle w:val="PargrafodaLista"/>
        <w:numPr>
          <w:ilvl w:val="2"/>
          <w:numId w:val="4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D</w:t>
      </w:r>
      <w:r w:rsidR="007758E4" w:rsidRPr="00066E20">
        <w:rPr>
          <w:rFonts w:ascii="Times New Roman" w:hAnsi="Times New Roman" w:cs="Times New Roman"/>
          <w:sz w:val="24"/>
          <w:szCs w:val="24"/>
        </w:rPr>
        <w:t>er causa à inexecução total do contrato;</w:t>
      </w:r>
    </w:p>
    <w:p w14:paraId="32CB1ACC" w14:textId="24B8FC2A" w:rsidR="007758E4" w:rsidRPr="00066E20" w:rsidRDefault="003E6998" w:rsidP="001703B5">
      <w:pPr>
        <w:pStyle w:val="PargrafodaLista"/>
        <w:numPr>
          <w:ilvl w:val="2"/>
          <w:numId w:val="4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D</w:t>
      </w:r>
      <w:r w:rsidR="007758E4" w:rsidRPr="00066E20">
        <w:rPr>
          <w:rFonts w:ascii="Times New Roman" w:hAnsi="Times New Roman" w:cs="Times New Roman"/>
          <w:sz w:val="24"/>
          <w:szCs w:val="24"/>
        </w:rPr>
        <w:t>eixar de entregar a documentação exigida para o certame;</w:t>
      </w:r>
    </w:p>
    <w:p w14:paraId="34CFCFD3" w14:textId="309C827C" w:rsidR="007758E4" w:rsidRPr="00066E20" w:rsidRDefault="003E6998" w:rsidP="001703B5">
      <w:pPr>
        <w:pStyle w:val="PargrafodaLista"/>
        <w:numPr>
          <w:ilvl w:val="2"/>
          <w:numId w:val="4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N</w:t>
      </w:r>
      <w:r w:rsidR="007758E4" w:rsidRPr="00066E20">
        <w:rPr>
          <w:rFonts w:ascii="Times New Roman" w:hAnsi="Times New Roman" w:cs="Times New Roman"/>
          <w:sz w:val="24"/>
          <w:szCs w:val="24"/>
        </w:rPr>
        <w:t>ão mantiver a proposta, salvo em decorrência de fato superveniente devidamente justificado;</w:t>
      </w:r>
    </w:p>
    <w:p w14:paraId="2364AD54" w14:textId="51E43F81" w:rsidR="007758E4" w:rsidRPr="00066E20" w:rsidRDefault="003E6998" w:rsidP="001703B5">
      <w:pPr>
        <w:pStyle w:val="PargrafodaLista"/>
        <w:numPr>
          <w:ilvl w:val="2"/>
          <w:numId w:val="4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N</w:t>
      </w:r>
      <w:r w:rsidR="007758E4" w:rsidRPr="00066E20">
        <w:rPr>
          <w:rFonts w:ascii="Times New Roman" w:hAnsi="Times New Roman" w:cs="Times New Roman"/>
          <w:sz w:val="24"/>
          <w:szCs w:val="24"/>
        </w:rPr>
        <w:t>ão celebrar o contrato ou não entregar a documentação exigida para a contratação, quando convocado dentro do prazo de validade de sua proposta, na forma do item 14;</w:t>
      </w:r>
    </w:p>
    <w:p w14:paraId="685A3F46" w14:textId="0AB00BB9" w:rsidR="007758E4" w:rsidRPr="00066E20" w:rsidRDefault="003E6998" w:rsidP="001703B5">
      <w:pPr>
        <w:pStyle w:val="PargrafodaLista"/>
        <w:numPr>
          <w:ilvl w:val="2"/>
          <w:numId w:val="4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E</w:t>
      </w:r>
      <w:r w:rsidR="007758E4" w:rsidRPr="00066E20">
        <w:rPr>
          <w:rFonts w:ascii="Times New Roman" w:hAnsi="Times New Roman" w:cs="Times New Roman"/>
          <w:sz w:val="24"/>
          <w:szCs w:val="24"/>
        </w:rPr>
        <w:t>nsejar o retardamento da execução ou da entrega do objeto da contratação sem motivo justificado;</w:t>
      </w:r>
    </w:p>
    <w:p w14:paraId="693A5B1F" w14:textId="0C07954C" w:rsidR="007758E4" w:rsidRPr="00066E20" w:rsidRDefault="003E6998" w:rsidP="001703B5">
      <w:pPr>
        <w:pStyle w:val="PargrafodaLista"/>
        <w:numPr>
          <w:ilvl w:val="2"/>
          <w:numId w:val="4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A</w:t>
      </w:r>
      <w:r w:rsidR="007758E4" w:rsidRPr="00066E20">
        <w:rPr>
          <w:rFonts w:ascii="Times New Roman" w:hAnsi="Times New Roman" w:cs="Times New Roman"/>
          <w:sz w:val="24"/>
          <w:szCs w:val="24"/>
        </w:rPr>
        <w:t xml:space="preserve">presentar declaração ou documentação inidônea exigida para o certame ou prestar declaração falsa durante a execução do contrato; </w:t>
      </w:r>
    </w:p>
    <w:p w14:paraId="7EC6B1FD" w14:textId="3F8DCEDE" w:rsidR="007758E4" w:rsidRPr="00066E20" w:rsidRDefault="003E6998" w:rsidP="001703B5">
      <w:pPr>
        <w:pStyle w:val="PargrafodaLista"/>
        <w:numPr>
          <w:ilvl w:val="2"/>
          <w:numId w:val="4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F</w:t>
      </w:r>
      <w:r w:rsidR="007758E4" w:rsidRPr="00066E20">
        <w:rPr>
          <w:rFonts w:ascii="Times New Roman" w:hAnsi="Times New Roman" w:cs="Times New Roman"/>
          <w:sz w:val="24"/>
          <w:szCs w:val="24"/>
        </w:rPr>
        <w:t>raudar a contratação ou praticar ato fraudulento na execução do contrato;</w:t>
      </w:r>
    </w:p>
    <w:p w14:paraId="27A72F2C" w14:textId="1B6280DD" w:rsidR="007758E4" w:rsidRPr="00066E20" w:rsidRDefault="003E6998" w:rsidP="001703B5">
      <w:pPr>
        <w:pStyle w:val="PargrafodaLista"/>
        <w:numPr>
          <w:ilvl w:val="2"/>
          <w:numId w:val="4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C</w:t>
      </w:r>
      <w:r w:rsidR="007758E4" w:rsidRPr="00066E20">
        <w:rPr>
          <w:rFonts w:ascii="Times New Roman" w:hAnsi="Times New Roman" w:cs="Times New Roman"/>
          <w:sz w:val="24"/>
          <w:szCs w:val="24"/>
        </w:rPr>
        <w:t>omportar-se de modo inidôneo ou cometer fraude de qualquer natureza;</w:t>
      </w:r>
    </w:p>
    <w:p w14:paraId="53C972FD" w14:textId="0135714F" w:rsidR="007758E4" w:rsidRPr="00066E20" w:rsidRDefault="003E6998" w:rsidP="001703B5">
      <w:pPr>
        <w:pStyle w:val="PargrafodaLista"/>
        <w:numPr>
          <w:ilvl w:val="2"/>
          <w:numId w:val="4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P</w:t>
      </w:r>
      <w:r w:rsidR="007758E4" w:rsidRPr="00066E20">
        <w:rPr>
          <w:rFonts w:ascii="Times New Roman" w:hAnsi="Times New Roman" w:cs="Times New Roman"/>
          <w:sz w:val="24"/>
          <w:szCs w:val="24"/>
        </w:rPr>
        <w:t>raticar atos ilícitos com vistas a frustrar os objetivos do certame;</w:t>
      </w:r>
    </w:p>
    <w:p w14:paraId="724D431A" w14:textId="38B8BAF0" w:rsidR="007758E4" w:rsidRPr="00066E20" w:rsidRDefault="003E6998" w:rsidP="001703B5">
      <w:pPr>
        <w:pStyle w:val="PargrafodaLista"/>
        <w:numPr>
          <w:ilvl w:val="2"/>
          <w:numId w:val="42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7758E4" w:rsidRPr="00066E20">
        <w:rPr>
          <w:rFonts w:ascii="Times New Roman" w:hAnsi="Times New Roman" w:cs="Times New Roman"/>
          <w:sz w:val="24"/>
          <w:szCs w:val="24"/>
        </w:rPr>
        <w:t>raticar ato lesivo previsto no art. 5º da Lei nº 12.846</w:t>
      </w:r>
      <w:r w:rsidRPr="00066E20">
        <w:rPr>
          <w:rFonts w:ascii="Times New Roman" w:hAnsi="Times New Roman" w:cs="Times New Roman"/>
          <w:sz w:val="24"/>
          <w:szCs w:val="24"/>
        </w:rPr>
        <w:t>/</w:t>
      </w:r>
      <w:r w:rsidR="007758E4" w:rsidRPr="00066E20">
        <w:rPr>
          <w:rFonts w:ascii="Times New Roman" w:hAnsi="Times New Roman" w:cs="Times New Roman"/>
          <w:sz w:val="24"/>
          <w:szCs w:val="24"/>
        </w:rPr>
        <w:t>2013.</w:t>
      </w:r>
    </w:p>
    <w:p w14:paraId="4BFCF874" w14:textId="77777777" w:rsidR="003E6998" w:rsidRPr="00066E20" w:rsidRDefault="007758E4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Serão aplicadas ao responsável pelas infrações administrativas acima descritas as seguintes sanções:</w:t>
      </w:r>
    </w:p>
    <w:p w14:paraId="0D064EAD" w14:textId="1492B6E9" w:rsidR="003E6998" w:rsidRPr="001703B5" w:rsidRDefault="007758E4" w:rsidP="002D24A8">
      <w:pPr>
        <w:pStyle w:val="PargrafodaLista"/>
        <w:numPr>
          <w:ilvl w:val="2"/>
          <w:numId w:val="30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703B5">
        <w:rPr>
          <w:rFonts w:ascii="Times New Roman" w:hAnsi="Times New Roman" w:cs="Times New Roman"/>
          <w:sz w:val="24"/>
          <w:szCs w:val="24"/>
        </w:rPr>
        <w:t>Advertência, sempre que não se justificar a imposição de penalidade mais grave (art. 156, §2º, da Lei n.º 14.133/2021);</w:t>
      </w:r>
    </w:p>
    <w:p w14:paraId="2F31891E" w14:textId="77777777" w:rsidR="003E6998" w:rsidRPr="00066E20" w:rsidRDefault="007758E4" w:rsidP="002D24A8">
      <w:pPr>
        <w:pStyle w:val="PargrafodaLista"/>
        <w:numPr>
          <w:ilvl w:val="2"/>
          <w:numId w:val="30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Impedimento de licitar e contratar, quando praticadas as condutas descritas nas alíneas b, c, d, e, f e g do subitem acima, sempre que não se justificar a imposição de penalidade mais grave (art. 156, §4º, da Lei 14.133/2021);</w:t>
      </w:r>
    </w:p>
    <w:p w14:paraId="17007734" w14:textId="77777777" w:rsidR="003E6998" w:rsidRPr="00066E20" w:rsidRDefault="007758E4" w:rsidP="002D24A8">
      <w:pPr>
        <w:pStyle w:val="PargrafodaLista"/>
        <w:numPr>
          <w:ilvl w:val="2"/>
          <w:numId w:val="30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Declaração de inidoneidade para licitar e contratar, quando praticadas as condutas descritas nas alíneas h, i, j, k e l do subitem acima, bem como nas alíneas b, c, d, e, f e g, que justifiquem a imposição de penalidade mais grave;</w:t>
      </w:r>
    </w:p>
    <w:p w14:paraId="1D6D1BEE" w14:textId="77777777" w:rsidR="003E6998" w:rsidRPr="00066E20" w:rsidRDefault="007758E4" w:rsidP="002D24A8">
      <w:pPr>
        <w:pStyle w:val="PargrafodaLista"/>
        <w:numPr>
          <w:ilvl w:val="2"/>
          <w:numId w:val="30"/>
        </w:numPr>
        <w:ind w:left="5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Multa:</w:t>
      </w:r>
    </w:p>
    <w:p w14:paraId="70E13BD7" w14:textId="77777777" w:rsidR="003E6998" w:rsidRPr="00066E20" w:rsidRDefault="007758E4" w:rsidP="001703B5">
      <w:pPr>
        <w:pStyle w:val="PargrafodaLista"/>
        <w:numPr>
          <w:ilvl w:val="2"/>
          <w:numId w:val="43"/>
        </w:numPr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moratória de 1% (um por cento) por dia útil de atraso injustificado sobre o valor da parcela inadimplida, até o limite de 20% (vinte por cento) do valor global do contrato;</w:t>
      </w:r>
    </w:p>
    <w:p w14:paraId="043CF427" w14:textId="662D3F46" w:rsidR="007758E4" w:rsidRPr="00066E20" w:rsidRDefault="007758E4" w:rsidP="001703B5">
      <w:pPr>
        <w:pStyle w:val="PargrafodaLista"/>
        <w:numPr>
          <w:ilvl w:val="2"/>
          <w:numId w:val="43"/>
        </w:numPr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administrativa de 20% (vinte por cento) sobre o valor total do contrato, no caso de inexecução total do objeto;</w:t>
      </w:r>
    </w:p>
    <w:p w14:paraId="316F1EB6" w14:textId="77777777" w:rsidR="007758E4" w:rsidRPr="00066E20" w:rsidRDefault="007758E4" w:rsidP="001703B5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A aplicação das sanções previstas no Contrato não exclui, em hipótese alguma, a obrigação de reparação integral do dano causado ao Contratante;</w:t>
      </w:r>
    </w:p>
    <w:p w14:paraId="0EF9FBD8" w14:textId="77777777" w:rsidR="007758E4" w:rsidRPr="00066E20" w:rsidRDefault="007758E4" w:rsidP="001703B5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Todas as sanções previstas neste Termo de Referência poderão ser aplicadas cumulativamente com a multa;</w:t>
      </w:r>
    </w:p>
    <w:p w14:paraId="273F4B23" w14:textId="77777777" w:rsidR="007758E4" w:rsidRPr="00066E20" w:rsidRDefault="007758E4" w:rsidP="001703B5">
      <w:pPr>
        <w:pStyle w:val="PargrafodaLista"/>
        <w:numPr>
          <w:ilvl w:val="2"/>
          <w:numId w:val="4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Antes da aplicação da multa será facultada a defesa do interessado no prazo de 15 (quinze) dias úteis, contado da data de sua intimação;</w:t>
      </w:r>
    </w:p>
    <w:p w14:paraId="423243FF" w14:textId="77777777" w:rsidR="007758E4" w:rsidRPr="00066E20" w:rsidRDefault="007758E4" w:rsidP="001703B5">
      <w:pPr>
        <w:pStyle w:val="PargrafodaLista"/>
        <w:numPr>
          <w:ilvl w:val="2"/>
          <w:numId w:val="4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Se a multa aplicada e as indenizações cabíveis forem superiores ao valor do pagamento eventualmente devido pelo Contratante ao Contratado, além da perda desse valor, a diferença será descontada da garantia prestada ou será cobrada judicialmente;</w:t>
      </w:r>
    </w:p>
    <w:p w14:paraId="1D677604" w14:textId="77777777" w:rsidR="007758E4" w:rsidRPr="00066E20" w:rsidRDefault="007758E4" w:rsidP="001703B5">
      <w:pPr>
        <w:pStyle w:val="PargrafodaLista"/>
        <w:numPr>
          <w:ilvl w:val="2"/>
          <w:numId w:val="4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Previamente ao encaminhamento à cobrança judicial, a multa poderá ser recolhida administrativamente no prazo máximo de 10 (dez) dias, a contar da data do recebimento da comunicação enviada pela autoridade competente;</w:t>
      </w:r>
    </w:p>
    <w:p w14:paraId="25272BE8" w14:textId="77777777" w:rsidR="007758E4" w:rsidRPr="00066E20" w:rsidRDefault="007758E4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lastRenderedPageBreak/>
        <w:t>A aplicação das sanções realizar-se-á em processo administrativo que assegure o contraditório e a ampla defesa ao Contratado, observando-se o procedimento previsto no caput e parágrafos do art. 158 da Lei nº 14.133, de 2021, para as penalidades de impedimento de licitar e contratar e de declaração de inidoneidade para licitar ou contratar.</w:t>
      </w:r>
    </w:p>
    <w:p w14:paraId="6CFF7B0D" w14:textId="77777777" w:rsidR="003E6998" w:rsidRPr="00066E20" w:rsidRDefault="007758E4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Na aplicação das sanções serão considerados:</w:t>
      </w:r>
    </w:p>
    <w:p w14:paraId="52850460" w14:textId="3FC14913" w:rsidR="003E6998" w:rsidRPr="00066E20" w:rsidRDefault="003E6998" w:rsidP="001703B5">
      <w:pPr>
        <w:pStyle w:val="PargrafodaLista"/>
        <w:numPr>
          <w:ilvl w:val="2"/>
          <w:numId w:val="4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A</w:t>
      </w:r>
      <w:r w:rsidR="007758E4" w:rsidRPr="00066E20">
        <w:rPr>
          <w:rFonts w:ascii="Times New Roman" w:hAnsi="Times New Roman" w:cs="Times New Roman"/>
          <w:sz w:val="24"/>
          <w:szCs w:val="24"/>
        </w:rPr>
        <w:t xml:space="preserve"> natureza e a gravidade da infração cometida;</w:t>
      </w:r>
    </w:p>
    <w:p w14:paraId="767866E4" w14:textId="7DE1BAD4" w:rsidR="003E6998" w:rsidRPr="00066E20" w:rsidRDefault="003E6998" w:rsidP="001703B5">
      <w:pPr>
        <w:pStyle w:val="PargrafodaLista"/>
        <w:numPr>
          <w:ilvl w:val="2"/>
          <w:numId w:val="4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A</w:t>
      </w:r>
      <w:r w:rsidR="007758E4" w:rsidRPr="00066E20">
        <w:rPr>
          <w:rFonts w:ascii="Times New Roman" w:hAnsi="Times New Roman" w:cs="Times New Roman"/>
          <w:sz w:val="24"/>
          <w:szCs w:val="24"/>
        </w:rPr>
        <w:t>s peculiaridades do caso concreto;</w:t>
      </w:r>
    </w:p>
    <w:p w14:paraId="3D1F7C07" w14:textId="61F5D328" w:rsidR="003E6998" w:rsidRPr="00066E20" w:rsidRDefault="003E6998" w:rsidP="001703B5">
      <w:pPr>
        <w:pStyle w:val="PargrafodaLista"/>
        <w:numPr>
          <w:ilvl w:val="2"/>
          <w:numId w:val="4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A</w:t>
      </w:r>
      <w:r w:rsidR="007758E4" w:rsidRPr="00066E20">
        <w:rPr>
          <w:rFonts w:ascii="Times New Roman" w:hAnsi="Times New Roman" w:cs="Times New Roman"/>
          <w:sz w:val="24"/>
          <w:szCs w:val="24"/>
        </w:rPr>
        <w:t>s circunstâncias agravantes ou atenuantes;</w:t>
      </w:r>
    </w:p>
    <w:p w14:paraId="2BA7B4E8" w14:textId="7F1B7CB6" w:rsidR="007758E4" w:rsidRPr="00066E20" w:rsidRDefault="003E6998" w:rsidP="001703B5">
      <w:pPr>
        <w:pStyle w:val="PargrafodaLista"/>
        <w:numPr>
          <w:ilvl w:val="2"/>
          <w:numId w:val="4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O</w:t>
      </w:r>
      <w:r w:rsidR="007758E4" w:rsidRPr="00066E20">
        <w:rPr>
          <w:rFonts w:ascii="Times New Roman" w:hAnsi="Times New Roman" w:cs="Times New Roman"/>
          <w:sz w:val="24"/>
          <w:szCs w:val="24"/>
        </w:rPr>
        <w:t>s danos que dela provierem para o Contratante</w:t>
      </w:r>
      <w:r w:rsidRPr="00066E20">
        <w:rPr>
          <w:rFonts w:ascii="Times New Roman" w:hAnsi="Times New Roman" w:cs="Times New Roman"/>
          <w:sz w:val="24"/>
          <w:szCs w:val="24"/>
        </w:rPr>
        <w:t>.</w:t>
      </w:r>
    </w:p>
    <w:p w14:paraId="5BD3FBE6" w14:textId="77777777" w:rsidR="007758E4" w:rsidRPr="00066E20" w:rsidRDefault="007758E4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O Contratante deverá, no prazo máximo 15 (quinze) dias úteis, contado da data de aplicação da sanção, informar e manter atualizados os dados relativos às sanções por ela aplicadas, para fins de publicidade no Cadastro Nacional de Empresas Inidôneas e Suspensas (</w:t>
      </w:r>
      <w:proofErr w:type="spellStart"/>
      <w:r w:rsidRPr="00066E20">
        <w:rPr>
          <w:rFonts w:ascii="Times New Roman" w:hAnsi="Times New Roman" w:cs="Times New Roman"/>
          <w:sz w:val="24"/>
          <w:szCs w:val="24"/>
        </w:rPr>
        <w:t>Ceis</w:t>
      </w:r>
      <w:proofErr w:type="spellEnd"/>
      <w:r w:rsidRPr="00066E20">
        <w:rPr>
          <w:rFonts w:ascii="Times New Roman" w:hAnsi="Times New Roman" w:cs="Times New Roman"/>
          <w:sz w:val="24"/>
          <w:szCs w:val="24"/>
        </w:rPr>
        <w:t>) e no Cadastro Nacional de Empresas Punidas (</w:t>
      </w:r>
      <w:proofErr w:type="spellStart"/>
      <w:r w:rsidRPr="00066E20">
        <w:rPr>
          <w:rFonts w:ascii="Times New Roman" w:hAnsi="Times New Roman" w:cs="Times New Roman"/>
          <w:sz w:val="24"/>
          <w:szCs w:val="24"/>
        </w:rPr>
        <w:t>Cnep</w:t>
      </w:r>
      <w:proofErr w:type="spellEnd"/>
      <w:r w:rsidRPr="00066E20">
        <w:rPr>
          <w:rFonts w:ascii="Times New Roman" w:hAnsi="Times New Roman" w:cs="Times New Roman"/>
          <w:sz w:val="24"/>
          <w:szCs w:val="24"/>
        </w:rPr>
        <w:t>), instituídos no âmbito do Poder Executivo Federal.</w:t>
      </w:r>
    </w:p>
    <w:p w14:paraId="6E739BAA" w14:textId="77777777" w:rsidR="007758E4" w:rsidRPr="00066E20" w:rsidRDefault="007758E4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As sanções de impedimento de licitar e contratar e declaração de inidoneidade para licitar ou contratar são passíveis de reabilitação na forma do art. 163 da Lei nº 14.133/21.</w:t>
      </w:r>
    </w:p>
    <w:p w14:paraId="7CE70D3B" w14:textId="39386D69" w:rsidR="007758E4" w:rsidRPr="00066E20" w:rsidRDefault="007758E4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As multas serão aplicadas, conforme as infrações cometidas e o nível de gravidade respectivo, indicados nas tabelas a seguir:</w:t>
      </w:r>
    </w:p>
    <w:p w14:paraId="2F66CE10" w14:textId="41BBCD25" w:rsidR="003E6998" w:rsidRPr="00066E20" w:rsidRDefault="003E6998" w:rsidP="003E6998">
      <w:pPr>
        <w:pStyle w:val="Standard"/>
        <w:tabs>
          <w:tab w:val="left" w:pos="70"/>
        </w:tabs>
        <w:spacing w:before="120" w:after="120" w:line="360" w:lineRule="auto"/>
        <w:jc w:val="center"/>
        <w:rPr>
          <w:rFonts w:cs="Times New Roman"/>
          <w:b/>
          <w:bCs/>
          <w:lang w:eastAsia="en-US"/>
        </w:rPr>
      </w:pPr>
      <w:r w:rsidRPr="00066E20">
        <w:rPr>
          <w:rFonts w:cs="Times New Roman"/>
          <w:b/>
          <w:bCs/>
          <w:lang w:eastAsia="en-US"/>
        </w:rPr>
        <w:t xml:space="preserve">TABELA 1 – </w:t>
      </w:r>
      <w:r w:rsidRPr="00066E20">
        <w:rPr>
          <w:rFonts w:cs="Times New Roman"/>
          <w:lang w:eastAsia="en-US"/>
        </w:rPr>
        <w:t>CLASSIFICAÇÃO DAS INFRAÇÕES E MULTAS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4"/>
        <w:gridCol w:w="6187"/>
      </w:tblGrid>
      <w:tr w:rsidR="003E6998" w:rsidRPr="008C5BDD" w14:paraId="20F34BA0" w14:textId="77777777" w:rsidTr="003E6998">
        <w:trPr>
          <w:trHeight w:val="154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D8E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FC1A00" w14:textId="77777777" w:rsidR="003E6998" w:rsidRPr="008C5BDD" w:rsidRDefault="003E6998" w:rsidP="008C5B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D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D8E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7E31D8" w14:textId="77777777" w:rsidR="003E6998" w:rsidRPr="008C5BDD" w:rsidRDefault="003E6998" w:rsidP="008C5B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D">
              <w:rPr>
                <w:rFonts w:ascii="Times New Roman" w:hAnsi="Times New Roman" w:cs="Times New Roman"/>
                <w:b/>
                <w:sz w:val="20"/>
                <w:szCs w:val="20"/>
              </w:rPr>
              <w:t>CORRESPONDÊNCIA</w:t>
            </w:r>
          </w:p>
          <w:p w14:paraId="1B4AD5A8" w14:textId="77777777" w:rsidR="003E6998" w:rsidRPr="008C5BDD" w:rsidRDefault="003E6998" w:rsidP="008C5B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D">
              <w:rPr>
                <w:rFonts w:ascii="Times New Roman" w:hAnsi="Times New Roman" w:cs="Times New Roman"/>
                <w:b/>
                <w:sz w:val="20"/>
                <w:szCs w:val="20"/>
              </w:rPr>
              <w:t>(por ocorrência sobre o valor global do Contratada)</w:t>
            </w:r>
          </w:p>
        </w:tc>
      </w:tr>
      <w:tr w:rsidR="003E6998" w:rsidRPr="008C5BDD" w14:paraId="597F5E83" w14:textId="77777777" w:rsidTr="003E699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A8F871" w14:textId="77777777" w:rsidR="003E6998" w:rsidRPr="008C5BDD" w:rsidRDefault="003E6998" w:rsidP="008C5BDD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1 (menor ofensividade)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D4FCD2F" w14:textId="77777777" w:rsidR="003E6998" w:rsidRPr="008C5BDD" w:rsidRDefault="003E6998" w:rsidP="008C5BDD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0,2%.</w:t>
            </w:r>
          </w:p>
        </w:tc>
      </w:tr>
      <w:tr w:rsidR="003E6998" w:rsidRPr="008C5BDD" w14:paraId="114962CC" w14:textId="77777777" w:rsidTr="003E699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59AAA6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2 (leve)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F45ABA" w14:textId="77777777" w:rsidR="003E6998" w:rsidRPr="008C5BDD" w:rsidRDefault="003E6998" w:rsidP="008C5BDD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0,4%.</w:t>
            </w:r>
          </w:p>
        </w:tc>
      </w:tr>
      <w:tr w:rsidR="003E6998" w:rsidRPr="008C5BDD" w14:paraId="00C95556" w14:textId="77777777" w:rsidTr="003E699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5FDBB0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3 (médio)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7BD5E4" w14:textId="77777777" w:rsidR="003E6998" w:rsidRPr="008C5BDD" w:rsidRDefault="003E6998" w:rsidP="008C5BDD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0,8%.</w:t>
            </w:r>
          </w:p>
        </w:tc>
      </w:tr>
      <w:tr w:rsidR="003E6998" w:rsidRPr="008C5BDD" w14:paraId="327E8F34" w14:textId="77777777" w:rsidTr="003E699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DB7EFC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4 (grave)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A372F8" w14:textId="77777777" w:rsidR="003E6998" w:rsidRPr="008C5BDD" w:rsidRDefault="003E6998" w:rsidP="008C5BDD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1,6%.</w:t>
            </w:r>
          </w:p>
        </w:tc>
      </w:tr>
      <w:tr w:rsidR="003E6998" w:rsidRPr="008C5BDD" w14:paraId="0F269D31" w14:textId="77777777" w:rsidTr="003E699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488227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5 (muito grave)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B5D7DA" w14:textId="77777777" w:rsidR="003E6998" w:rsidRPr="008C5BDD" w:rsidRDefault="003E6998" w:rsidP="008C5BDD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3,2%.</w:t>
            </w:r>
          </w:p>
        </w:tc>
      </w:tr>
      <w:tr w:rsidR="003E6998" w:rsidRPr="008C5BDD" w14:paraId="250C7C13" w14:textId="77777777" w:rsidTr="003E6998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690FDB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6 (gravíssimo)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922118" w14:textId="77777777" w:rsidR="003E6998" w:rsidRPr="008C5BDD" w:rsidRDefault="003E6998" w:rsidP="008C5BDD">
            <w:pPr>
              <w:pStyle w:val="Standard"/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4%.</w:t>
            </w:r>
          </w:p>
        </w:tc>
      </w:tr>
    </w:tbl>
    <w:p w14:paraId="0C97C923" w14:textId="656477E8" w:rsidR="003E6998" w:rsidRPr="001703B5" w:rsidRDefault="003E6998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 xml:space="preserve">As gradações dispostas na tabela acima, somadas, limitar-se-ão ao percentual de 20% </w:t>
      </w:r>
      <w:r w:rsidRPr="001703B5">
        <w:rPr>
          <w:rFonts w:ascii="Times New Roman" w:hAnsi="Times New Roman" w:cs="Times New Roman"/>
          <w:sz w:val="24"/>
          <w:szCs w:val="24"/>
        </w:rPr>
        <w:t>(vinte por cento) sobre o valor global do contrato, na forma estabelecida no subitem 1</w:t>
      </w:r>
      <w:r w:rsidR="001703B5" w:rsidRPr="001703B5">
        <w:rPr>
          <w:rFonts w:ascii="Times New Roman" w:hAnsi="Times New Roman" w:cs="Times New Roman"/>
          <w:sz w:val="24"/>
          <w:szCs w:val="24"/>
        </w:rPr>
        <w:t>6</w:t>
      </w:r>
      <w:r w:rsidRPr="001703B5">
        <w:rPr>
          <w:rFonts w:ascii="Times New Roman" w:hAnsi="Times New Roman" w:cs="Times New Roman"/>
          <w:sz w:val="24"/>
          <w:szCs w:val="24"/>
        </w:rPr>
        <w:t>.2.4.</w:t>
      </w:r>
    </w:p>
    <w:p w14:paraId="196C1C24" w14:textId="06F1FD87" w:rsidR="00863F57" w:rsidRPr="00066E20" w:rsidRDefault="003E6998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66E20">
        <w:rPr>
          <w:rFonts w:ascii="Times New Roman" w:hAnsi="Times New Roman" w:cs="Times New Roman"/>
          <w:sz w:val="24"/>
          <w:szCs w:val="24"/>
        </w:rPr>
        <w:t>Todas as ocorrências contratuais serão registradas pela FEMAR, que notificará empresa a ser contratada.</w:t>
      </w:r>
    </w:p>
    <w:p w14:paraId="71F8B950" w14:textId="01716478" w:rsidR="003E6998" w:rsidRPr="00066E20" w:rsidRDefault="003E6998" w:rsidP="003E6998">
      <w:pPr>
        <w:pStyle w:val="Standard"/>
        <w:tabs>
          <w:tab w:val="left" w:pos="70"/>
        </w:tabs>
        <w:spacing w:line="360" w:lineRule="auto"/>
        <w:jc w:val="center"/>
        <w:rPr>
          <w:rFonts w:cs="Times New Roman"/>
          <w:b/>
          <w:bCs/>
          <w:lang w:eastAsia="en-US"/>
        </w:rPr>
      </w:pPr>
      <w:r w:rsidRPr="00066E20">
        <w:rPr>
          <w:rFonts w:cs="Times New Roman"/>
          <w:b/>
          <w:bCs/>
          <w:lang w:eastAsia="en-US"/>
        </w:rPr>
        <w:lastRenderedPageBreak/>
        <w:t xml:space="preserve">TABELA 2 – </w:t>
      </w:r>
      <w:r w:rsidRPr="00066E20">
        <w:rPr>
          <w:rFonts w:cs="Times New Roman"/>
          <w:lang w:eastAsia="en-US"/>
        </w:rPr>
        <w:t>INFRAÇÕES E CORRESPONDENTES NÍVEIS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7954"/>
        <w:gridCol w:w="619"/>
      </w:tblGrid>
      <w:tr w:rsidR="003E6998" w:rsidRPr="008C5BDD" w14:paraId="49193498" w14:textId="77777777" w:rsidTr="003E6998">
        <w:trPr>
          <w:trHeight w:val="431"/>
          <w:jc w:val="center"/>
        </w:trPr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D8E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EA1AF6" w14:textId="77777777" w:rsidR="003E6998" w:rsidRPr="008C5BDD" w:rsidRDefault="003E6998" w:rsidP="008C5B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D">
              <w:rPr>
                <w:rFonts w:ascii="Times New Roman" w:hAnsi="Times New Roman" w:cs="Times New Roman"/>
                <w:b/>
                <w:sz w:val="20"/>
                <w:szCs w:val="20"/>
              </w:rPr>
              <w:t>INFRAÇÃO</w:t>
            </w:r>
          </w:p>
        </w:tc>
      </w:tr>
      <w:tr w:rsidR="003E6998" w:rsidRPr="008C5BDD" w14:paraId="195F7643" w14:textId="77777777" w:rsidTr="003E6998">
        <w:trPr>
          <w:trHeight w:val="439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D8E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039457" w14:textId="77777777" w:rsidR="003E6998" w:rsidRPr="008C5BDD" w:rsidRDefault="003E6998" w:rsidP="008C5B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D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D8E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5EC7BE" w14:textId="77777777" w:rsidR="003E6998" w:rsidRPr="008C5BDD" w:rsidRDefault="003E6998" w:rsidP="008C5B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D">
              <w:rPr>
                <w:rFonts w:ascii="Times New Roman" w:hAnsi="Times New Roman" w:cs="Times New Roman"/>
                <w:b/>
                <w:sz w:val="20"/>
                <w:szCs w:val="20"/>
              </w:rPr>
              <w:t>Descrição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D8E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217A59" w14:textId="77777777" w:rsidR="003E6998" w:rsidRPr="008C5BDD" w:rsidRDefault="003E6998" w:rsidP="008C5B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BDD">
              <w:rPr>
                <w:rFonts w:ascii="Times New Roman" w:hAnsi="Times New Roman" w:cs="Times New Roman"/>
                <w:b/>
                <w:sz w:val="20"/>
                <w:szCs w:val="20"/>
              </w:rPr>
              <w:t>Nível</w:t>
            </w:r>
          </w:p>
        </w:tc>
      </w:tr>
      <w:tr w:rsidR="003E6998" w:rsidRPr="008C5BDD" w14:paraId="224D44B1" w14:textId="77777777" w:rsidTr="003E6998">
        <w:trPr>
          <w:trHeight w:val="14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489837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0478CE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Transferir a outrem, no todo ou em parte, o objeto do Contrato sem prévia e expresso acordo do CONTRATANTE.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9B565F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E6998" w:rsidRPr="008C5BDD" w14:paraId="7D568E0D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510D66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7BC665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Caucionar ou utilizar o Contrato para quaisquer operações financeiras.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876B6FA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E6998" w:rsidRPr="008C5BDD" w14:paraId="0A2D0F73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948506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8C04491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Reproduzir, divulgar ou utilizar, em benefício próprio ou de terceiros, quaisquer informações de que tenha tomado ciência em razão do cumprimento de suas obrigações sem o consentimento prévio e por escrito do CONTRATANTE.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136597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E6998" w:rsidRPr="008C5BDD" w14:paraId="582C6EE8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B66E17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AA54DA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Utilizar o nome do CONTRATANTE, ou sua qualidade de CONTRATADA, em quaisquer atividades de divulgação empresarial, como, por exemplo, em cartões de visita, anúncios e impressos.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8609A2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E6998" w:rsidRPr="008C5BDD" w14:paraId="4F650596" w14:textId="77777777" w:rsidTr="003E6998">
        <w:trPr>
          <w:trHeight w:val="5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A79911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A7F266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relacionar-se com O CONTRATANTE, exclusivamente, por meio do fiscal do Contrato.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0B08FF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E6998" w:rsidRPr="008C5BDD" w14:paraId="5C8DDA05" w14:textId="77777777" w:rsidTr="003E6998">
        <w:trPr>
          <w:trHeight w:val="52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943B82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BBD945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se sujeitar à fiscalização do CONTRATANTE, que inclui o atendimento às orientações do fiscal do Contrato e a prestação dos esclarecimentos formulados.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8B0D65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3E6998" w:rsidRPr="008C5BDD" w14:paraId="0508EF6F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F1D519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88ED6A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responsabilizar-se pelos produtos e materiais entregues, assim como deixar de substituir imediatamente qualquer material ou objeto que não atenda aos critérios especificados neste termo.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089A02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E6998" w:rsidRPr="008C5BDD" w14:paraId="5B967DB0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D636D9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0309E6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Não zelar pelas instalações do CONTRATANTE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29F7D4B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E6998" w:rsidRPr="008C5BDD" w14:paraId="3D60CEDA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60A1CE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2C1FA6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responsabilizar-se por quaisquer acidentes de trabalho sofridos pelos seus empregados quando em serviço.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C6E58A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E6998" w:rsidRPr="008C5BDD" w14:paraId="29CD28BB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EC545E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6D6574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responsabilizarem-se pelos encargos trabalhista, fiscal e comercial, pelos seguros de acidente e quaisquer outros encargos resultantes da prestação do serviço.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D9DBAB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E6998" w:rsidRPr="008C5BDD" w14:paraId="66C49E30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A06048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9A7589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observar rigorosamente as normas regulamentadoras de segurança do trabalho.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9BD845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E6998" w:rsidRPr="008C5BDD" w14:paraId="43FF3E56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F59073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B34CAB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manter nas dependências do CONTRATANTE, os funcionários identificados e uniformizados de maneira condizente com o serviço, observando ainda as normas internas e de segurança.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90FB23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E6998" w:rsidRPr="008C5BDD" w14:paraId="3300613E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07542B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34B0D0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manter, durante todo o período de vigência contratual, todas as condições de habilitação e qualificação que permitiram sua contratação.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70086F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E6998" w:rsidRPr="008C5BDD" w14:paraId="73B22BAB" w14:textId="77777777" w:rsidTr="003E6998">
        <w:trPr>
          <w:trHeight w:val="61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9F55FA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B2121D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disponibilizar e manter atualizados conta de e-mail, endereço e telefones comerciais para fins de comunicação formal entre as partes.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6DC884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E6998" w:rsidRPr="008C5BDD" w14:paraId="0EE10818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423669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2E1437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responsabilizar-se pela idoneidade e pelo comportamento de seus prestadores de serviço e por quaisquer prejuízos que sejam causados à CONTRATANTE e a terceiros.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CA530E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E6998" w:rsidRPr="008C5BDD" w14:paraId="1A209A5E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00498C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126EFB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encaminhar documentos fiscais e todas as documentações determinadas pelo fiscal do Contrato para efeitos de atestar a entrega dos bens e comprovar regularizações.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3854F8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3E6998" w:rsidRPr="008C5BDD" w14:paraId="4786468A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CECDAE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B57BA1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resguardar que seus funcionários cumpram as normas internas do CONTRATANTE e impedir que os que cometerem faltas a partir da classificação de natureza grave continue na prestação dos serviços.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54AD3A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E6998" w:rsidRPr="008C5BDD" w14:paraId="3A94D646" w14:textId="77777777" w:rsidTr="003E6998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4CE604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20DEAC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assumir todas as responsabilidades e tomar as medidas necessárias para o atendimento dos prestadores de serviço acidentados ou com mal súbito.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0B67AA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3E6998" w:rsidRPr="008C5BDD" w14:paraId="75EF613A" w14:textId="77777777" w:rsidTr="003E6998">
        <w:trPr>
          <w:trHeight w:val="546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ED1C75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569BD52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Deixar de relatar à CONTRATANTE toda e quaisquer irregularidades ocorridas, que impeça, altere ou retarde a execução do Contrato, efetuando o registro da ocorrência com todos os dados e circunstâncias necessárias a seu esclarecimento.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90E6B3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E6998" w:rsidRPr="008C5BDD" w14:paraId="775706D4" w14:textId="77777777" w:rsidTr="003E6998">
        <w:trPr>
          <w:trHeight w:val="51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71E62D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985324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Suspender ou interromper, salvo motivo de força maior ou caso fortuito, a execução do objeto.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BA8396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3E6998" w:rsidRPr="008C5BDD" w14:paraId="098D6CD0" w14:textId="77777777" w:rsidTr="003E6998">
        <w:trPr>
          <w:trHeight w:val="438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ADDE3D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33A14E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Recusar fornecimento determinado pela fiscalização sem motivo justificado.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BFEA54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E6998" w:rsidRPr="008C5BDD" w14:paraId="6C3306D5" w14:textId="77777777" w:rsidTr="003E6998">
        <w:trPr>
          <w:trHeight w:val="65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94284E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DAE969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Retirar das dependências da FEMAR quaisquer equipamentos ou materiais de consumo sem autorização prévia.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396060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E6998" w:rsidRPr="008C5BDD" w14:paraId="6E166D01" w14:textId="77777777" w:rsidTr="003E6998">
        <w:trPr>
          <w:trHeight w:val="493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9A0FE9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D616BA2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Destruir ou danificar documentos por culpa ou dolo de seus agentes.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D6B07C8" w14:textId="77777777" w:rsidR="003E6998" w:rsidRPr="008C5BDD" w:rsidRDefault="003E6998" w:rsidP="008C5BDD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8C5BDD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14:paraId="77D2B7E6" w14:textId="77777777" w:rsidR="003E6998" w:rsidRPr="00066E20" w:rsidRDefault="003E6998" w:rsidP="003E6998">
      <w:pPr>
        <w:shd w:val="clear" w:color="auto" w:fill="B5D8E9"/>
        <w:rPr>
          <w:rFonts w:ascii="Times New Roman" w:hAnsi="Times New Roman" w:cs="Times New Roman"/>
          <w:i/>
          <w:iCs/>
          <w:sz w:val="4"/>
          <w:szCs w:val="4"/>
        </w:rPr>
      </w:pPr>
    </w:p>
    <w:p w14:paraId="69E5F0A8" w14:textId="7E0544D9" w:rsidR="003E6998" w:rsidRPr="008C5BDD" w:rsidRDefault="003E6998" w:rsidP="002D24A8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t>DAS HIPÓTESES DE EXTINÇÃO CONTRATUAL</w:t>
      </w:r>
    </w:p>
    <w:p w14:paraId="3E11CCC4" w14:textId="77777777" w:rsidR="000F422B" w:rsidRPr="008C5BDD" w:rsidRDefault="000F422B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inexecução do objeto deste Termo de Referência, total ou parcialmente, poderá ensejar a rescisão contratual, na forma dos artigos 137, 138, 139 e 155 da Lei nº 14.133/2021, com as consequências previstas em lei e neste instrumento;</w:t>
      </w:r>
    </w:p>
    <w:p w14:paraId="4BE96154" w14:textId="77777777" w:rsidR="000F422B" w:rsidRPr="008C5BDD" w:rsidRDefault="000F422B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rescisão unilateral do Contrato a ser firmado poderá ser determinada pela FEMAR, de acordo com o inciso I do art. 138 da Lei nº 14.133/2021, com as consequências elencadas no art. 139 do referido diploma legal e sem prejuízo das demais sanções impostas pela lei e por esse Termo de Referência;</w:t>
      </w:r>
    </w:p>
    <w:p w14:paraId="5347C375" w14:textId="77777777" w:rsidR="000F422B" w:rsidRPr="008C5BDD" w:rsidRDefault="000F422B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Constituem motivo para rescisão do Contrato, todos os incisos constantes do Art. 137 da Lei nº 14.133/2021;</w:t>
      </w:r>
    </w:p>
    <w:p w14:paraId="03224795" w14:textId="77777777" w:rsidR="000F422B" w:rsidRPr="008C5BDD" w:rsidRDefault="000F422B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As formas de rescisão estão previstas no Art. 138, Incisos de I a III, da Lei nº 14.133/2021;</w:t>
      </w:r>
    </w:p>
    <w:p w14:paraId="5520DE11" w14:textId="77777777" w:rsidR="000F422B" w:rsidRPr="008C5BDD" w:rsidRDefault="000F422B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Os casos omissos de rescisão contratual serão formalmente motivados nos autos do processo, assegurado o contraditório e a ampla defesa;</w:t>
      </w:r>
    </w:p>
    <w:p w14:paraId="68F42232" w14:textId="77777777" w:rsidR="000F422B" w:rsidRPr="008C5BDD" w:rsidRDefault="000F422B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Os casos de rescisão contratual serão formalmente motivados nos autos, assegurados o contraditório e a ampla defesa;</w:t>
      </w:r>
    </w:p>
    <w:p w14:paraId="166690EE" w14:textId="23717811" w:rsidR="003E6998" w:rsidRDefault="000F422B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A rescisão administrativa ou amigável será precedida de autorização escrita e fundamentada da autoridade competente.</w:t>
      </w:r>
    </w:p>
    <w:p w14:paraId="30DB632D" w14:textId="77777777" w:rsidR="0030777F" w:rsidRDefault="0030777F" w:rsidP="0030777F">
      <w:pPr>
        <w:pStyle w:val="PargrafodaLista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B593345" w14:textId="77777777" w:rsidR="0030777F" w:rsidRDefault="0030777F" w:rsidP="0030777F">
      <w:pPr>
        <w:pStyle w:val="PargrafodaLista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C846C00" w14:textId="77777777" w:rsidR="0030777F" w:rsidRDefault="0030777F" w:rsidP="0030777F">
      <w:pPr>
        <w:pStyle w:val="PargrafodaLista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485CD22" w14:textId="77777777" w:rsidR="0030777F" w:rsidRDefault="0030777F" w:rsidP="0030777F">
      <w:pPr>
        <w:pStyle w:val="PargrafodaLista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78E2857" w14:textId="0FD68255" w:rsidR="000F422B" w:rsidRPr="008C5BDD" w:rsidRDefault="000F422B" w:rsidP="00C9580A">
      <w:pPr>
        <w:pStyle w:val="PargrafodaLista"/>
        <w:numPr>
          <w:ilvl w:val="0"/>
          <w:numId w:val="22"/>
        </w:numPr>
        <w:shd w:val="clear" w:color="auto" w:fill="B5D8E9"/>
        <w:ind w:left="0" w:firstLine="0"/>
        <w:contextualSpacing w:val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C5BDD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FORO</w:t>
      </w:r>
    </w:p>
    <w:p w14:paraId="074F805C" w14:textId="30067410" w:rsidR="000F422B" w:rsidRDefault="000F422B" w:rsidP="00C9580A">
      <w:pPr>
        <w:pStyle w:val="PargrafodaLista"/>
        <w:numPr>
          <w:ilvl w:val="1"/>
          <w:numId w:val="22"/>
        </w:numPr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Ficará eleito o Foro da Comarca de Maricá para dirimir quaisquer questões decorrentes deste Termo de Referência, assim como do respectivo contrato, renunciando as partes, a qualquer outro, por mais privilegiado que seja.</w:t>
      </w:r>
    </w:p>
    <w:p w14:paraId="5A6AF6C8" w14:textId="77777777" w:rsidR="0030777F" w:rsidRPr="008C5BDD" w:rsidRDefault="0030777F" w:rsidP="0030777F">
      <w:pPr>
        <w:pStyle w:val="PargrafodaLista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8037B7E" w14:textId="77AFFD91" w:rsidR="000F422B" w:rsidRDefault="000F422B" w:rsidP="008C5BD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 xml:space="preserve">Maricá, </w:t>
      </w:r>
      <w:r w:rsidR="00FE16CE">
        <w:rPr>
          <w:rFonts w:ascii="Times New Roman" w:hAnsi="Times New Roman" w:cs="Times New Roman"/>
          <w:sz w:val="24"/>
          <w:szCs w:val="24"/>
        </w:rPr>
        <w:t>2</w:t>
      </w:r>
      <w:r w:rsidR="00741513">
        <w:rPr>
          <w:rFonts w:ascii="Times New Roman" w:hAnsi="Times New Roman" w:cs="Times New Roman"/>
          <w:sz w:val="24"/>
          <w:szCs w:val="24"/>
        </w:rPr>
        <w:t>4</w:t>
      </w:r>
      <w:r w:rsidRPr="008C5BDD">
        <w:rPr>
          <w:rFonts w:ascii="Times New Roman" w:hAnsi="Times New Roman" w:cs="Times New Roman"/>
          <w:sz w:val="24"/>
          <w:szCs w:val="24"/>
        </w:rPr>
        <w:t xml:space="preserve"> de </w:t>
      </w:r>
      <w:r w:rsidR="00741513">
        <w:rPr>
          <w:rFonts w:ascii="Times New Roman" w:hAnsi="Times New Roman" w:cs="Times New Roman"/>
          <w:sz w:val="24"/>
          <w:szCs w:val="24"/>
        </w:rPr>
        <w:t>maio</w:t>
      </w:r>
      <w:r w:rsidRPr="008C5BDD">
        <w:rPr>
          <w:rFonts w:ascii="Times New Roman" w:hAnsi="Times New Roman" w:cs="Times New Roman"/>
          <w:sz w:val="24"/>
          <w:szCs w:val="24"/>
        </w:rPr>
        <w:t xml:space="preserve"> de 2024</w:t>
      </w:r>
      <w:r w:rsidR="002B7A6F">
        <w:rPr>
          <w:rFonts w:ascii="Times New Roman" w:hAnsi="Times New Roman" w:cs="Times New Roman"/>
          <w:sz w:val="24"/>
          <w:szCs w:val="24"/>
        </w:rPr>
        <w:t>.</w:t>
      </w:r>
    </w:p>
    <w:p w14:paraId="5761880E" w14:textId="77777777" w:rsidR="0030777F" w:rsidRPr="008C5BDD" w:rsidRDefault="0030777F" w:rsidP="0030777F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63ABD" w14:textId="3704407F" w:rsidR="000F422B" w:rsidRPr="008C5BDD" w:rsidRDefault="000F422B" w:rsidP="002B7A6F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C5BDD">
        <w:rPr>
          <w:rFonts w:ascii="Times New Roman" w:hAnsi="Times New Roman" w:cs="Times New Roman"/>
          <w:sz w:val="24"/>
          <w:szCs w:val="24"/>
        </w:rPr>
        <w:t>Elaborador por</w:t>
      </w:r>
      <w:r w:rsidR="00AA202F">
        <w:rPr>
          <w:rFonts w:ascii="Times New Roman" w:hAnsi="Times New Roman" w:cs="Times New Roman"/>
          <w:sz w:val="24"/>
          <w:szCs w:val="24"/>
        </w:rPr>
        <w:t>,</w:t>
      </w:r>
    </w:p>
    <w:p w14:paraId="5D8C6BFF" w14:textId="77777777" w:rsidR="000F422B" w:rsidRPr="008C5BDD" w:rsidRDefault="000F422B" w:rsidP="008C5BD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B43D6" w14:textId="77777777" w:rsidR="002B7A6F" w:rsidRDefault="002B7A6F" w:rsidP="008C5BDD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B47E796" w14:textId="1D70A300" w:rsidR="002B7A6F" w:rsidRPr="002B7A6F" w:rsidRDefault="00741513" w:rsidP="002B7A6F">
      <w:pPr>
        <w:widowControl w:val="0"/>
        <w:tabs>
          <w:tab w:val="left" w:pos="3686"/>
        </w:tabs>
        <w:spacing w:before="0" w:after="0" w:line="240" w:lineRule="auto"/>
        <w:jc w:val="center"/>
        <w:rPr>
          <w:rFonts w:ascii="Times New Roman" w:eastAsia="Times New Roman" w:hAnsi="Times New Roman" w:cs="Arial M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Arial MT"/>
          <w:b/>
          <w:bCs/>
          <w:color w:val="000000"/>
          <w:kern w:val="0"/>
          <w:sz w:val="24"/>
          <w:szCs w:val="24"/>
          <w:lang w:eastAsia="pt-BR"/>
          <w14:ligatures w14:val="none"/>
        </w:rPr>
        <w:t>Brunna Vasconcelos Garcêz</w:t>
      </w:r>
    </w:p>
    <w:p w14:paraId="208C37B1" w14:textId="19A89EB0" w:rsidR="002B7A6F" w:rsidRPr="002B7A6F" w:rsidRDefault="002B7A6F" w:rsidP="002B7A6F">
      <w:pPr>
        <w:widowControl w:val="0"/>
        <w:spacing w:before="0" w:after="0" w:line="240" w:lineRule="auto"/>
        <w:ind w:left="1276" w:hanging="1276"/>
        <w:jc w:val="center"/>
        <w:rPr>
          <w:rFonts w:ascii="Times New Roman" w:eastAsia="Times New Roman" w:hAnsi="Times New Roman" w:cs="Arial MT"/>
          <w:color w:val="000000"/>
          <w:kern w:val="0"/>
          <w:sz w:val="24"/>
          <w:szCs w:val="24"/>
          <w:lang w:eastAsia="pt-BR"/>
          <w14:ligatures w14:val="none"/>
        </w:rPr>
      </w:pPr>
      <w:r w:rsidRPr="002B7A6F">
        <w:rPr>
          <w:rFonts w:ascii="Times New Roman" w:eastAsia="Times New Roman" w:hAnsi="Times New Roman" w:cs="Arial MT"/>
          <w:color w:val="000000"/>
          <w:kern w:val="0"/>
          <w:sz w:val="24"/>
          <w:szCs w:val="24"/>
          <w:lang w:eastAsia="pt-BR"/>
          <w14:ligatures w14:val="none"/>
        </w:rPr>
        <w:t>Ger</w:t>
      </w:r>
      <w:r w:rsidR="00741513">
        <w:rPr>
          <w:rFonts w:ascii="Times New Roman" w:eastAsia="Times New Roman" w:hAnsi="Times New Roman" w:cs="Arial MT"/>
          <w:color w:val="000000"/>
          <w:kern w:val="0"/>
          <w:sz w:val="24"/>
          <w:szCs w:val="24"/>
          <w:lang w:eastAsia="pt-BR"/>
          <w14:ligatures w14:val="none"/>
        </w:rPr>
        <w:t>ência</w:t>
      </w:r>
      <w:r w:rsidRPr="002B7A6F">
        <w:rPr>
          <w:rFonts w:ascii="Times New Roman" w:eastAsia="Times New Roman" w:hAnsi="Times New Roman" w:cs="Arial MT"/>
          <w:color w:val="000000"/>
          <w:kern w:val="0"/>
          <w:sz w:val="24"/>
          <w:szCs w:val="24"/>
          <w:lang w:eastAsia="pt-BR"/>
          <w14:ligatures w14:val="none"/>
        </w:rPr>
        <w:t xml:space="preserve"> de Instrução Processual</w:t>
      </w:r>
    </w:p>
    <w:p w14:paraId="3E413EBE" w14:textId="77777777" w:rsidR="002B7A6F" w:rsidRPr="002B7A6F" w:rsidRDefault="002B7A6F" w:rsidP="002B7A6F">
      <w:pPr>
        <w:widowControl w:val="0"/>
        <w:tabs>
          <w:tab w:val="left" w:pos="3686"/>
        </w:tabs>
        <w:spacing w:before="0" w:after="0" w:line="240" w:lineRule="auto"/>
        <w:ind w:left="567" w:hanging="709"/>
        <w:jc w:val="center"/>
        <w:rPr>
          <w:rFonts w:ascii="Times New Roman" w:eastAsia="Times New Roman" w:hAnsi="Times New Roman" w:cs="Arial MT"/>
          <w:color w:val="000000"/>
          <w:kern w:val="0"/>
          <w:sz w:val="24"/>
          <w:szCs w:val="24"/>
          <w:lang w:eastAsia="pt-BR"/>
          <w14:ligatures w14:val="none"/>
        </w:rPr>
      </w:pPr>
      <w:r w:rsidRPr="002B7A6F">
        <w:rPr>
          <w:rFonts w:ascii="Times New Roman" w:eastAsia="Times New Roman" w:hAnsi="Times New Roman" w:cs="Arial MT"/>
          <w:color w:val="000000"/>
          <w:kern w:val="0"/>
          <w:sz w:val="24"/>
          <w:szCs w:val="24"/>
          <w:lang w:eastAsia="pt-BR"/>
          <w14:ligatures w14:val="none"/>
        </w:rPr>
        <w:t>Diretoria Administrativa</w:t>
      </w:r>
    </w:p>
    <w:p w14:paraId="6810D6C3" w14:textId="0F4DECD9" w:rsidR="002B7A6F" w:rsidRPr="002B7A6F" w:rsidRDefault="002B7A6F" w:rsidP="002B7A6F">
      <w:pPr>
        <w:widowControl w:val="0"/>
        <w:tabs>
          <w:tab w:val="left" w:pos="3686"/>
        </w:tabs>
        <w:spacing w:before="0" w:after="0" w:line="240" w:lineRule="auto"/>
        <w:ind w:left="993" w:hanging="709"/>
        <w:jc w:val="center"/>
        <w:rPr>
          <w:rFonts w:ascii="Times New Roman" w:eastAsia="Times New Roman" w:hAnsi="Times New Roman" w:cs="Arial MT"/>
          <w:color w:val="000000"/>
          <w:kern w:val="0"/>
          <w:sz w:val="24"/>
          <w:szCs w:val="24"/>
          <w:lang w:eastAsia="pt-BR"/>
          <w14:ligatures w14:val="none"/>
        </w:rPr>
      </w:pPr>
      <w:r w:rsidRPr="002B7A6F">
        <w:rPr>
          <w:rFonts w:ascii="Times New Roman" w:eastAsia="Times New Roman" w:hAnsi="Times New Roman" w:cs="Arial MT"/>
          <w:color w:val="000000"/>
          <w:kern w:val="0"/>
          <w:sz w:val="24"/>
          <w:szCs w:val="24"/>
          <w:lang w:eastAsia="pt-BR"/>
          <w14:ligatures w14:val="none"/>
        </w:rPr>
        <w:t>Mat.: 3.300.</w:t>
      </w:r>
      <w:r w:rsidR="00741513">
        <w:rPr>
          <w:rFonts w:ascii="Times New Roman" w:eastAsia="Times New Roman" w:hAnsi="Times New Roman" w:cs="Arial MT"/>
          <w:color w:val="000000"/>
          <w:kern w:val="0"/>
          <w:sz w:val="24"/>
          <w:szCs w:val="24"/>
          <w:lang w:eastAsia="pt-BR"/>
          <w14:ligatures w14:val="none"/>
        </w:rPr>
        <w:t>409</w:t>
      </w:r>
    </w:p>
    <w:p w14:paraId="594C60D5" w14:textId="77777777" w:rsidR="00B14F54" w:rsidRDefault="00B14F54" w:rsidP="008C5BD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2B7A6F" w14:paraId="61FBCBE3" w14:textId="77777777" w:rsidTr="002B7A6F">
        <w:tc>
          <w:tcPr>
            <w:tcW w:w="4530" w:type="dxa"/>
          </w:tcPr>
          <w:p w14:paraId="3BE5E2A4" w14:textId="77777777" w:rsidR="002B7A6F" w:rsidRDefault="002B7A6F" w:rsidP="002B7A6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3E54E" w14:textId="6A4F8EB3" w:rsidR="002B7A6F" w:rsidRDefault="001631E9" w:rsidP="002B7A6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BDD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erência</w:t>
            </w:r>
            <w:r w:rsidR="002B7A6F" w:rsidRPr="008C5BDD">
              <w:rPr>
                <w:rFonts w:ascii="Times New Roman" w:hAnsi="Times New Roman" w:cs="Times New Roman"/>
                <w:sz w:val="24"/>
                <w:szCs w:val="24"/>
              </w:rPr>
              <w:t xml:space="preserve"> Técnic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B7A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A33CBF" w14:textId="77777777" w:rsidR="002B7A6F" w:rsidRDefault="002B7A6F" w:rsidP="002B7A6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3EEFB" w14:textId="77777777" w:rsidR="002B7A6F" w:rsidRDefault="002B7A6F" w:rsidP="002B7A6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3E2B01" w14:textId="77777777" w:rsidR="0030777F" w:rsidRDefault="0030777F" w:rsidP="002B7A6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9A825" w14:textId="49D0CF08" w:rsidR="002B7A6F" w:rsidRPr="008C5BDD" w:rsidRDefault="002B7A6F" w:rsidP="002B7A6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Anna Claudia de Almeida Medeiros</w:t>
            </w:r>
          </w:p>
          <w:p w14:paraId="07D4584E" w14:textId="77777777" w:rsidR="002B7A6F" w:rsidRPr="008C5BDD" w:rsidRDefault="002B7A6F" w:rsidP="002B7A6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DD">
              <w:rPr>
                <w:rFonts w:ascii="Times New Roman" w:hAnsi="Times New Roman" w:cs="Times New Roman"/>
                <w:sz w:val="24"/>
                <w:szCs w:val="24"/>
              </w:rPr>
              <w:t>Mat.: 3.300.404</w:t>
            </w:r>
          </w:p>
          <w:p w14:paraId="0CD3D840" w14:textId="19DA09FC" w:rsidR="002B7A6F" w:rsidRDefault="002B7A6F" w:rsidP="002B7A6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DD">
              <w:rPr>
                <w:rFonts w:ascii="Times New Roman" w:hAnsi="Times New Roman" w:cs="Times New Roman"/>
                <w:sz w:val="24"/>
                <w:szCs w:val="24"/>
              </w:rPr>
              <w:t>Superintendente de Atenção Primária à Saúde</w:t>
            </w:r>
          </w:p>
        </w:tc>
        <w:tc>
          <w:tcPr>
            <w:tcW w:w="4531" w:type="dxa"/>
          </w:tcPr>
          <w:p w14:paraId="601429E2" w14:textId="77777777" w:rsidR="002B7A6F" w:rsidRDefault="002B7A6F" w:rsidP="008C5B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2DFBE" w14:textId="7D34725C" w:rsidR="002B7A6F" w:rsidRDefault="002B7A6F" w:rsidP="008C5B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Revisado por,</w:t>
            </w:r>
          </w:p>
          <w:p w14:paraId="15F8D316" w14:textId="77777777" w:rsidR="002B7A6F" w:rsidRDefault="002B7A6F" w:rsidP="008C5B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0821C" w14:textId="77777777" w:rsidR="002B7A6F" w:rsidRDefault="002B7A6F" w:rsidP="008C5B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C5529" w14:textId="77777777" w:rsidR="0030777F" w:rsidRDefault="0030777F" w:rsidP="008C5BD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04D6" w14:textId="77777777" w:rsidR="00042AD2" w:rsidRPr="00042AD2" w:rsidRDefault="00042AD2" w:rsidP="00042AD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Renata de A. Gonzales</w:t>
            </w:r>
          </w:p>
          <w:p w14:paraId="008347FC" w14:textId="77777777" w:rsidR="00042AD2" w:rsidRPr="00042AD2" w:rsidRDefault="00042AD2" w:rsidP="00042AD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D2">
              <w:rPr>
                <w:rFonts w:ascii="Times New Roman" w:hAnsi="Times New Roman" w:cs="Times New Roman"/>
                <w:sz w:val="24"/>
                <w:szCs w:val="24"/>
              </w:rPr>
              <w:t xml:space="preserve">Assessora </w:t>
            </w:r>
          </w:p>
          <w:p w14:paraId="476D318A" w14:textId="77777777" w:rsidR="00042AD2" w:rsidRPr="00042AD2" w:rsidRDefault="00042AD2" w:rsidP="00042AD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D2">
              <w:rPr>
                <w:rFonts w:ascii="Times New Roman" w:hAnsi="Times New Roman" w:cs="Times New Roman"/>
                <w:sz w:val="24"/>
                <w:szCs w:val="24"/>
              </w:rPr>
              <w:t>Diretoria de Atenção à Saúde</w:t>
            </w:r>
          </w:p>
          <w:p w14:paraId="05C6AD24" w14:textId="60CCEC2A" w:rsidR="00042AD2" w:rsidRPr="00042AD2" w:rsidRDefault="00042AD2" w:rsidP="00042AD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AD2">
              <w:rPr>
                <w:rFonts w:ascii="Times New Roman" w:hAnsi="Times New Roman" w:cs="Times New Roman"/>
                <w:sz w:val="24"/>
                <w:szCs w:val="24"/>
              </w:rPr>
              <w:t>Mat.: 3.300.054</w:t>
            </w:r>
          </w:p>
          <w:p w14:paraId="361BC25A" w14:textId="3052DD1B" w:rsidR="002B7A6F" w:rsidRDefault="002B7A6F" w:rsidP="002B7A6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BE5BCD" w14:textId="77777777" w:rsidR="002B7A6F" w:rsidRDefault="002B7A6F" w:rsidP="008C5BD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B50151" w14:textId="77777777" w:rsidR="002B7A6F" w:rsidRDefault="002B7A6F" w:rsidP="008C5BD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8A5C2" w14:textId="77777777" w:rsidR="0030777F" w:rsidRDefault="0030777F" w:rsidP="008C5BD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54C158" w14:textId="77777777" w:rsidR="00AA202F" w:rsidRPr="00AA202F" w:rsidRDefault="00AA202F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02F">
        <w:rPr>
          <w:rFonts w:ascii="Times New Roman" w:hAnsi="Times New Roman" w:cs="Times New Roman"/>
          <w:sz w:val="24"/>
          <w:szCs w:val="24"/>
        </w:rPr>
        <w:t>Conferido e de acordo,</w:t>
      </w:r>
    </w:p>
    <w:p w14:paraId="7F8A4560" w14:textId="77777777" w:rsidR="00AA202F" w:rsidRDefault="00AA202F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FE2C5" w14:textId="77777777" w:rsidR="0030777F" w:rsidRPr="00AA202F" w:rsidRDefault="0030777F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94701A" w14:textId="77777777" w:rsidR="00AA202F" w:rsidRPr="00AA202F" w:rsidRDefault="00AA202F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9D9BF1" w14:textId="77777777" w:rsidR="00AA202F" w:rsidRPr="00AA202F" w:rsidRDefault="00AA202F" w:rsidP="00AA202F">
      <w:pPr>
        <w:spacing w:before="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202F">
        <w:rPr>
          <w:rFonts w:ascii="Times New Roman" w:hAnsi="Times New Roman" w:cs="Times New Roman"/>
          <w:b/>
          <w:bCs/>
          <w:sz w:val="24"/>
          <w:szCs w:val="24"/>
        </w:rPr>
        <w:t xml:space="preserve">Claudia Rogéria de Lima Souza </w:t>
      </w:r>
    </w:p>
    <w:p w14:paraId="34744830" w14:textId="77777777" w:rsidR="00AA202F" w:rsidRPr="00AA202F" w:rsidRDefault="00AA202F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02F">
        <w:rPr>
          <w:rFonts w:ascii="Times New Roman" w:hAnsi="Times New Roman" w:cs="Times New Roman"/>
          <w:sz w:val="24"/>
          <w:szCs w:val="24"/>
        </w:rPr>
        <w:t>Mat.: 3.300.005</w:t>
      </w:r>
    </w:p>
    <w:p w14:paraId="3145C0D9" w14:textId="6C0238E5" w:rsidR="002B7A6F" w:rsidRDefault="00AA202F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02F">
        <w:rPr>
          <w:rFonts w:ascii="Times New Roman" w:hAnsi="Times New Roman" w:cs="Times New Roman"/>
          <w:sz w:val="24"/>
          <w:szCs w:val="24"/>
        </w:rPr>
        <w:t>Diretora de Atenção à Saúde</w:t>
      </w:r>
    </w:p>
    <w:p w14:paraId="5EEDC553" w14:textId="77777777" w:rsidR="0092495A" w:rsidRDefault="0092495A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55B18B" w14:textId="77777777" w:rsidR="0092495A" w:rsidRDefault="0092495A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80487F" w14:textId="77777777" w:rsidR="0092495A" w:rsidRDefault="0092495A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9BF44" w14:textId="77777777" w:rsidR="0092495A" w:rsidRDefault="0092495A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E333C9" w14:textId="77777777" w:rsidR="0092495A" w:rsidRDefault="0092495A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B7892A" w14:textId="77777777" w:rsidR="0092495A" w:rsidRDefault="0092495A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737274" w14:textId="77777777" w:rsidR="0092495A" w:rsidRDefault="0092495A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81800B" w14:textId="77777777" w:rsidR="0092495A" w:rsidRDefault="0092495A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F4BA60" w14:textId="77777777" w:rsidR="0092495A" w:rsidRDefault="0092495A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D2C8A8" w14:textId="77777777" w:rsidR="0092495A" w:rsidRDefault="0092495A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29BF4D" w14:textId="77777777" w:rsidR="0092495A" w:rsidRDefault="0092495A" w:rsidP="00AA202F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CBC800" w14:textId="3714571E" w:rsidR="0092495A" w:rsidRPr="0092495A" w:rsidRDefault="0092495A" w:rsidP="0092495A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495A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A</w:t>
      </w:r>
    </w:p>
    <w:p w14:paraId="2CB70DFE" w14:textId="346FB545" w:rsidR="0092495A" w:rsidRDefault="0092495A" w:rsidP="0092495A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Memória de Cálculo</w:t>
      </w:r>
    </w:p>
    <w:p w14:paraId="17612683" w14:textId="77777777" w:rsidR="0092495A" w:rsidRDefault="0092495A" w:rsidP="0092495A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799"/>
        <w:gridCol w:w="5289"/>
        <w:gridCol w:w="1559"/>
        <w:gridCol w:w="992"/>
      </w:tblGrid>
      <w:tr w:rsidR="0092495A" w:rsidRPr="003066F7" w14:paraId="33E493F0" w14:textId="77777777" w:rsidTr="005D068A">
        <w:trPr>
          <w:trHeight w:val="343"/>
          <w:jc w:val="center"/>
        </w:trPr>
        <w:tc>
          <w:tcPr>
            <w:tcW w:w="1799" w:type="dxa"/>
            <w:shd w:val="clear" w:color="auto" w:fill="B5D5E9"/>
            <w:vAlign w:val="center"/>
          </w:tcPr>
          <w:p w14:paraId="3AE28A12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b/>
                <w:bCs/>
                <w:sz w:val="24"/>
                <w:szCs w:val="24"/>
              </w:rPr>
            </w:pPr>
            <w:r w:rsidRPr="003066F7">
              <w:rPr>
                <w:rFonts w:ascii="Cambria" w:eastAsia="Arial" w:hAnsi="Cambria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289" w:type="dxa"/>
            <w:shd w:val="clear" w:color="auto" w:fill="B5D5E9"/>
            <w:noWrap/>
            <w:vAlign w:val="center"/>
          </w:tcPr>
          <w:p w14:paraId="1FD799DA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eastAsia="Arial" w:hAnsi="Cambria" w:cs="Times New Roman"/>
                <w:b/>
                <w:bCs/>
                <w:sz w:val="24"/>
                <w:szCs w:val="24"/>
              </w:rPr>
              <w:t>UNIDADE DE SAÚDE</w:t>
            </w:r>
          </w:p>
        </w:tc>
        <w:tc>
          <w:tcPr>
            <w:tcW w:w="1559" w:type="dxa"/>
            <w:shd w:val="clear" w:color="auto" w:fill="B5D5E9"/>
            <w:noWrap/>
            <w:vAlign w:val="center"/>
          </w:tcPr>
          <w:p w14:paraId="2D35F459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eastAsia="Arial" w:hAnsi="Cambria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992" w:type="dxa"/>
            <w:shd w:val="clear" w:color="auto" w:fill="B5D5E9"/>
            <w:vAlign w:val="center"/>
          </w:tcPr>
          <w:p w14:paraId="09EBBDFF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b/>
                <w:bCs/>
                <w:sz w:val="24"/>
                <w:szCs w:val="24"/>
              </w:rPr>
            </w:pPr>
            <w:r w:rsidRPr="003066F7">
              <w:rPr>
                <w:rFonts w:ascii="Cambria" w:eastAsia="Arial" w:hAnsi="Cambria" w:cs="Times New Roman"/>
                <w:b/>
                <w:bCs/>
                <w:sz w:val="24"/>
                <w:szCs w:val="24"/>
              </w:rPr>
              <w:t>QTD.</w:t>
            </w:r>
          </w:p>
        </w:tc>
      </w:tr>
      <w:tr w:rsidR="0092495A" w:rsidRPr="003066F7" w14:paraId="3B1C52D3" w14:textId="77777777" w:rsidTr="005D068A">
        <w:trPr>
          <w:trHeight w:val="343"/>
          <w:jc w:val="center"/>
        </w:trPr>
        <w:tc>
          <w:tcPr>
            <w:tcW w:w="1799" w:type="dxa"/>
            <w:vMerge w:val="restart"/>
            <w:vAlign w:val="center"/>
          </w:tcPr>
          <w:p w14:paraId="630C2FC8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eastAsia="Arial" w:hAnsi="Cambria" w:cs="Times New Roman"/>
                <w:sz w:val="24"/>
                <w:szCs w:val="24"/>
              </w:rPr>
              <w:t>01</w:t>
            </w:r>
          </w:p>
        </w:tc>
        <w:tc>
          <w:tcPr>
            <w:tcW w:w="5289" w:type="dxa"/>
            <w:noWrap/>
            <w:vAlign w:val="center"/>
          </w:tcPr>
          <w:p w14:paraId="65920470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hAnsi="Cambria" w:cs="Arial"/>
                <w:color w:val="26282A"/>
                <w:sz w:val="24"/>
                <w:szCs w:val="24"/>
                <w:shd w:val="clear" w:color="auto" w:fill="FFFFFF"/>
              </w:rPr>
              <w:t>USF Centro - Rua Clímaco Pereira, 241, Centro</w:t>
            </w:r>
          </w:p>
        </w:tc>
        <w:tc>
          <w:tcPr>
            <w:tcW w:w="1559" w:type="dxa"/>
            <w:noWrap/>
            <w:vAlign w:val="center"/>
          </w:tcPr>
          <w:p w14:paraId="2DC13566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eastAsia="Arial" w:hAnsi="Cambria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682A556E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92495A" w:rsidRPr="003066F7" w14:paraId="6074FBCC" w14:textId="77777777" w:rsidTr="005D068A">
        <w:trPr>
          <w:trHeight w:val="343"/>
          <w:jc w:val="center"/>
        </w:trPr>
        <w:tc>
          <w:tcPr>
            <w:tcW w:w="1799" w:type="dxa"/>
            <w:vMerge/>
            <w:vAlign w:val="center"/>
          </w:tcPr>
          <w:p w14:paraId="48A237C7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5289" w:type="dxa"/>
            <w:noWrap/>
            <w:vAlign w:val="center"/>
          </w:tcPr>
          <w:p w14:paraId="12429FF1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hAnsi="Cambria" w:cs="Arial"/>
                <w:color w:val="26282A"/>
                <w:sz w:val="24"/>
                <w:szCs w:val="24"/>
                <w:shd w:val="clear" w:color="auto" w:fill="FFFFFF"/>
              </w:rPr>
              <w:t>USF Marinelândia - Rua nove, quadra 15- Cordeirinho</w:t>
            </w:r>
          </w:p>
        </w:tc>
        <w:tc>
          <w:tcPr>
            <w:tcW w:w="1559" w:type="dxa"/>
            <w:noWrap/>
            <w:vAlign w:val="center"/>
          </w:tcPr>
          <w:p w14:paraId="20FEA171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eastAsia="Arial" w:hAnsi="Cambria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63842B10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92495A" w:rsidRPr="003066F7" w14:paraId="4068DC83" w14:textId="77777777" w:rsidTr="005D068A">
        <w:trPr>
          <w:trHeight w:val="343"/>
          <w:jc w:val="center"/>
        </w:trPr>
        <w:tc>
          <w:tcPr>
            <w:tcW w:w="1799" w:type="dxa"/>
            <w:vMerge/>
            <w:vAlign w:val="center"/>
          </w:tcPr>
          <w:p w14:paraId="02ECAC09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5289" w:type="dxa"/>
            <w:noWrap/>
            <w:vAlign w:val="center"/>
          </w:tcPr>
          <w:p w14:paraId="4C909076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hAnsi="Cambria" w:cs="Arial"/>
                <w:color w:val="26282A"/>
                <w:sz w:val="24"/>
                <w:szCs w:val="24"/>
                <w:shd w:val="clear" w:color="auto" w:fill="FFFFFF"/>
              </w:rPr>
              <w:t>USF Inoã II - Rodovia Amaral Peixoto, km14, ao lado do DPO</w:t>
            </w:r>
          </w:p>
        </w:tc>
        <w:tc>
          <w:tcPr>
            <w:tcW w:w="1559" w:type="dxa"/>
            <w:noWrap/>
            <w:vAlign w:val="center"/>
          </w:tcPr>
          <w:p w14:paraId="6102EBBD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eastAsia="Arial" w:hAnsi="Cambria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481A9F94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92495A" w:rsidRPr="003066F7" w14:paraId="1AFBD125" w14:textId="77777777" w:rsidTr="005D068A">
        <w:trPr>
          <w:trHeight w:val="343"/>
          <w:jc w:val="center"/>
        </w:trPr>
        <w:tc>
          <w:tcPr>
            <w:tcW w:w="1799" w:type="dxa"/>
            <w:vMerge/>
            <w:vAlign w:val="center"/>
          </w:tcPr>
          <w:p w14:paraId="11E06F13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5289" w:type="dxa"/>
            <w:noWrap/>
            <w:vAlign w:val="center"/>
          </w:tcPr>
          <w:p w14:paraId="6A11EB70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hAnsi="Cambria" w:cs="Arial"/>
                <w:color w:val="26282A"/>
                <w:sz w:val="24"/>
                <w:szCs w:val="24"/>
                <w:shd w:val="clear" w:color="auto" w:fill="FFFFFF"/>
              </w:rPr>
              <w:t>USF Jardim Atlantico - Rua Antônio Marques Mathias, Lote 01, Quadra 206, Jardim Atlantico Central – Itaipuaçu</w:t>
            </w:r>
          </w:p>
        </w:tc>
        <w:tc>
          <w:tcPr>
            <w:tcW w:w="1559" w:type="dxa"/>
            <w:noWrap/>
            <w:vAlign w:val="center"/>
          </w:tcPr>
          <w:p w14:paraId="4C822917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eastAsia="Arial" w:hAnsi="Cambria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386F256E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92495A" w:rsidRPr="003066F7" w14:paraId="71E79DE0" w14:textId="77777777" w:rsidTr="005D068A">
        <w:trPr>
          <w:trHeight w:val="343"/>
          <w:jc w:val="center"/>
        </w:trPr>
        <w:tc>
          <w:tcPr>
            <w:tcW w:w="1799" w:type="dxa"/>
            <w:vMerge/>
            <w:vAlign w:val="center"/>
          </w:tcPr>
          <w:p w14:paraId="4993264C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5289" w:type="dxa"/>
            <w:noWrap/>
            <w:vAlign w:val="center"/>
          </w:tcPr>
          <w:p w14:paraId="2D3111BE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hAnsi="Cambria" w:cs="Arial"/>
                <w:color w:val="26282A"/>
                <w:sz w:val="24"/>
                <w:szCs w:val="24"/>
                <w:shd w:val="clear" w:color="auto" w:fill="FFFFFF"/>
              </w:rPr>
              <w:t>USF São José I - Rua 18, Jardim Ouro Mar – São José</w:t>
            </w:r>
          </w:p>
        </w:tc>
        <w:tc>
          <w:tcPr>
            <w:tcW w:w="1559" w:type="dxa"/>
            <w:noWrap/>
            <w:vAlign w:val="center"/>
          </w:tcPr>
          <w:p w14:paraId="4E828196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eastAsia="Arial" w:hAnsi="Cambria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7FB22FFB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92495A" w:rsidRPr="003066F7" w14:paraId="255476B6" w14:textId="77777777" w:rsidTr="005D068A">
        <w:trPr>
          <w:trHeight w:val="343"/>
          <w:jc w:val="center"/>
        </w:trPr>
        <w:tc>
          <w:tcPr>
            <w:tcW w:w="1799" w:type="dxa"/>
            <w:vMerge/>
            <w:vAlign w:val="center"/>
          </w:tcPr>
          <w:p w14:paraId="5DA09794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5289" w:type="dxa"/>
            <w:noWrap/>
            <w:vAlign w:val="center"/>
          </w:tcPr>
          <w:p w14:paraId="74E3F6AF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hAnsi="Cambria"/>
                <w:color w:val="26282A"/>
                <w:sz w:val="24"/>
                <w:szCs w:val="24"/>
                <w:shd w:val="clear" w:color="auto" w:fill="FFFFFF"/>
              </w:rPr>
              <w:t>Ambulatório Péricles Siqueira –</w:t>
            </w:r>
            <w:r w:rsidRPr="003066F7">
              <w:rPr>
                <w:rFonts w:ascii="Cambria" w:hAnsi="Cambria" w:cs="Arial"/>
                <w:color w:val="26282A"/>
                <w:sz w:val="24"/>
                <w:szCs w:val="24"/>
                <w:shd w:val="clear" w:color="auto" w:fill="FFFFFF"/>
              </w:rPr>
              <w:t>Rua Doutor Milton De Souza Pacheco, Nº 6, quadra P, Parque Eldorado</w:t>
            </w:r>
          </w:p>
        </w:tc>
        <w:tc>
          <w:tcPr>
            <w:tcW w:w="1559" w:type="dxa"/>
            <w:noWrap/>
            <w:vAlign w:val="center"/>
          </w:tcPr>
          <w:p w14:paraId="687B8352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eastAsia="Arial" w:hAnsi="Cambria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6569C26B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92495A" w:rsidRPr="003066F7" w14:paraId="3CDC2208" w14:textId="77777777" w:rsidTr="005D068A">
        <w:trPr>
          <w:trHeight w:val="343"/>
          <w:jc w:val="center"/>
        </w:trPr>
        <w:tc>
          <w:tcPr>
            <w:tcW w:w="1799" w:type="dxa"/>
            <w:vMerge/>
            <w:vAlign w:val="center"/>
          </w:tcPr>
          <w:p w14:paraId="345AF6EA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5289" w:type="dxa"/>
            <w:noWrap/>
            <w:vAlign w:val="center"/>
          </w:tcPr>
          <w:p w14:paraId="20BF3DD6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hAnsi="Cambria"/>
                <w:color w:val="26282A"/>
                <w:sz w:val="24"/>
                <w:szCs w:val="24"/>
                <w:shd w:val="clear" w:color="auto" w:fill="FFFFFF"/>
              </w:rPr>
              <w:t xml:space="preserve">Centro Materno Infantil - </w:t>
            </w:r>
            <w:r w:rsidRPr="003066F7">
              <w:rPr>
                <w:rFonts w:ascii="Cambria" w:hAnsi="Cambria" w:cs="Arial"/>
                <w:color w:val="26282A"/>
                <w:sz w:val="24"/>
                <w:szCs w:val="24"/>
                <w:shd w:val="clear" w:color="auto" w:fill="FFFFFF"/>
              </w:rPr>
              <w:t>Rua Clímaco Pereira, 375 – Centro</w:t>
            </w:r>
          </w:p>
        </w:tc>
        <w:tc>
          <w:tcPr>
            <w:tcW w:w="1559" w:type="dxa"/>
            <w:noWrap/>
            <w:vAlign w:val="center"/>
          </w:tcPr>
          <w:p w14:paraId="63B3F183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eastAsia="Arial" w:hAnsi="Cambria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09452654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92495A" w:rsidRPr="003066F7" w14:paraId="08E7B89F" w14:textId="77777777" w:rsidTr="005D068A">
        <w:trPr>
          <w:trHeight w:val="343"/>
          <w:jc w:val="center"/>
        </w:trPr>
        <w:tc>
          <w:tcPr>
            <w:tcW w:w="1799" w:type="dxa"/>
            <w:vMerge/>
            <w:vAlign w:val="center"/>
          </w:tcPr>
          <w:p w14:paraId="64126B9D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5289" w:type="dxa"/>
            <w:noWrap/>
            <w:vAlign w:val="center"/>
          </w:tcPr>
          <w:p w14:paraId="31B756A7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hAnsi="Cambria" w:cs="Arial"/>
                <w:color w:val="26282A"/>
                <w:sz w:val="24"/>
                <w:szCs w:val="24"/>
                <w:shd w:val="clear" w:color="auto" w:fill="FFFFFF"/>
              </w:rPr>
              <w:t>Centro de Diagnóstico e Tratamento (CDT) - </w:t>
            </w:r>
            <w:r w:rsidRPr="003066F7">
              <w:rPr>
                <w:rFonts w:ascii="Cambria" w:hAnsi="Cambria"/>
                <w:color w:val="26282A"/>
                <w:sz w:val="24"/>
                <w:szCs w:val="24"/>
                <w:shd w:val="clear" w:color="auto" w:fill="FFFFFF"/>
              </w:rPr>
              <w:t>End.: </w:t>
            </w:r>
            <w:r w:rsidRPr="003066F7">
              <w:rPr>
                <w:rFonts w:ascii="Cambria" w:hAnsi="Cambria" w:cs="Arial"/>
                <w:color w:val="26282A"/>
                <w:sz w:val="24"/>
                <w:szCs w:val="24"/>
                <w:shd w:val="clear" w:color="auto" w:fill="FFFFFF"/>
              </w:rPr>
              <w:t>Rua Ary Spindola, s/nº Centro (Esquina Com Rua Pereira Neves)</w:t>
            </w:r>
          </w:p>
        </w:tc>
        <w:tc>
          <w:tcPr>
            <w:tcW w:w="1559" w:type="dxa"/>
            <w:noWrap/>
            <w:vAlign w:val="center"/>
          </w:tcPr>
          <w:p w14:paraId="61841EBB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eastAsia="Arial" w:hAnsi="Cambria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249BD283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92495A" w:rsidRPr="003066F7" w14:paraId="135FD2D8" w14:textId="77777777" w:rsidTr="005D068A">
        <w:trPr>
          <w:trHeight w:val="343"/>
          <w:jc w:val="center"/>
        </w:trPr>
        <w:tc>
          <w:tcPr>
            <w:tcW w:w="1799" w:type="dxa"/>
            <w:vMerge/>
            <w:vAlign w:val="center"/>
          </w:tcPr>
          <w:p w14:paraId="3CA254BF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</w:p>
        </w:tc>
        <w:tc>
          <w:tcPr>
            <w:tcW w:w="5289" w:type="dxa"/>
            <w:noWrap/>
            <w:vAlign w:val="center"/>
          </w:tcPr>
          <w:p w14:paraId="3A9A0AF0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hAnsi="Cambria" w:cs="Arial"/>
                <w:color w:val="26282A"/>
                <w:sz w:val="24"/>
                <w:szCs w:val="24"/>
                <w:shd w:val="clear" w:color="auto" w:fill="FFFFFF"/>
              </w:rPr>
              <w:t>USF Recanto - End.: Rua Domingos Mônica Barbosa – Recanto – Itaipuaçu</w:t>
            </w:r>
          </w:p>
        </w:tc>
        <w:tc>
          <w:tcPr>
            <w:tcW w:w="1559" w:type="dxa"/>
            <w:noWrap/>
            <w:vAlign w:val="center"/>
          </w:tcPr>
          <w:p w14:paraId="42A27413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sz w:val="24"/>
                <w:szCs w:val="24"/>
              </w:rPr>
            </w:pPr>
            <w:r w:rsidRPr="003066F7">
              <w:rPr>
                <w:rFonts w:ascii="Cambria" w:eastAsia="Arial" w:hAnsi="Cambria" w:cs="Times New Roman"/>
                <w:sz w:val="24"/>
                <w:szCs w:val="24"/>
              </w:rPr>
              <w:t>un.</w:t>
            </w:r>
          </w:p>
        </w:tc>
        <w:tc>
          <w:tcPr>
            <w:tcW w:w="992" w:type="dxa"/>
            <w:vAlign w:val="center"/>
          </w:tcPr>
          <w:p w14:paraId="6D4BE367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92495A" w:rsidRPr="003066F7" w14:paraId="33D9A911" w14:textId="77777777" w:rsidTr="005D068A">
        <w:trPr>
          <w:trHeight w:val="343"/>
          <w:jc w:val="center"/>
        </w:trPr>
        <w:tc>
          <w:tcPr>
            <w:tcW w:w="8647" w:type="dxa"/>
            <w:gridSpan w:val="3"/>
            <w:vAlign w:val="center"/>
          </w:tcPr>
          <w:p w14:paraId="5E2855A6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Arial" w:hAnsi="Cambria" w:cs="Times New Roman"/>
                <w:b/>
                <w:bCs/>
                <w:sz w:val="24"/>
                <w:szCs w:val="24"/>
              </w:rPr>
            </w:pPr>
            <w:r w:rsidRPr="003066F7">
              <w:rPr>
                <w:rFonts w:ascii="Cambria" w:eastAsia="Arial" w:hAnsi="Cambria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2" w:type="dxa"/>
            <w:vAlign w:val="center"/>
          </w:tcPr>
          <w:p w14:paraId="4C6AAF73" w14:textId="77777777" w:rsidR="0092495A" w:rsidRPr="003066F7" w:rsidRDefault="0092495A" w:rsidP="0092495A">
            <w:pPr>
              <w:spacing w:before="0"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066F7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</w:t>
            </w:r>
          </w:p>
        </w:tc>
      </w:tr>
    </w:tbl>
    <w:p w14:paraId="4F26D14A" w14:textId="77777777" w:rsidR="0092495A" w:rsidRDefault="0092495A" w:rsidP="0092495A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937AA9" w14:textId="77777777" w:rsidR="0092495A" w:rsidRDefault="0092495A" w:rsidP="0092495A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478320" w14:textId="3CB482AF" w:rsidR="0092495A" w:rsidRDefault="0092495A" w:rsidP="0092495A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Maricá, </w:t>
      </w:r>
      <w:r w:rsidR="00FE16CE">
        <w:rPr>
          <w:rFonts w:ascii="Times New Roman" w:hAnsi="Times New Roman" w:cs="Times New Roman"/>
          <w:sz w:val="24"/>
          <w:szCs w:val="24"/>
        </w:rPr>
        <w:t>2</w:t>
      </w:r>
      <w:r w:rsidR="00921D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21D6A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1485E" w14:paraId="26137DC9" w14:textId="77777777" w:rsidTr="00816BD4">
        <w:tc>
          <w:tcPr>
            <w:tcW w:w="4530" w:type="dxa"/>
          </w:tcPr>
          <w:p w14:paraId="46EE8DA2" w14:textId="77777777" w:rsidR="0091485E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C5711" w14:textId="77777777" w:rsidR="0091485E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BDD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erência</w:t>
            </w:r>
            <w:r w:rsidRPr="008C5BDD">
              <w:rPr>
                <w:rFonts w:ascii="Times New Roman" w:hAnsi="Times New Roman" w:cs="Times New Roman"/>
                <w:sz w:val="24"/>
                <w:szCs w:val="24"/>
              </w:rPr>
              <w:t xml:space="preserve"> Técnic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</w:t>
            </w:r>
          </w:p>
          <w:p w14:paraId="7C65117F" w14:textId="77777777" w:rsidR="0091485E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5D2BAC" w14:textId="77777777" w:rsidR="0091485E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14D1D" w14:textId="77777777" w:rsidR="0091485E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80D08" w14:textId="77777777" w:rsidR="0091485E" w:rsidRPr="008C5BDD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Anna Claudia de Almeida Medeiros</w:t>
            </w:r>
          </w:p>
          <w:p w14:paraId="6378A7EC" w14:textId="77777777" w:rsidR="0091485E" w:rsidRPr="008C5BDD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DD">
              <w:rPr>
                <w:rFonts w:ascii="Times New Roman" w:hAnsi="Times New Roman" w:cs="Times New Roman"/>
                <w:sz w:val="24"/>
                <w:szCs w:val="24"/>
              </w:rPr>
              <w:t>Mat.: 3.300.404</w:t>
            </w:r>
          </w:p>
          <w:p w14:paraId="26CEF588" w14:textId="77777777" w:rsidR="0091485E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DD">
              <w:rPr>
                <w:rFonts w:ascii="Times New Roman" w:hAnsi="Times New Roman" w:cs="Times New Roman"/>
                <w:sz w:val="24"/>
                <w:szCs w:val="24"/>
              </w:rPr>
              <w:t>Superintendente de Atenção Primária à Saúde</w:t>
            </w:r>
          </w:p>
        </w:tc>
        <w:tc>
          <w:tcPr>
            <w:tcW w:w="4531" w:type="dxa"/>
          </w:tcPr>
          <w:p w14:paraId="6CAE325A" w14:textId="77777777" w:rsidR="0091485E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E9FA0" w14:textId="77777777" w:rsidR="0091485E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Revisado por,</w:t>
            </w:r>
          </w:p>
          <w:p w14:paraId="1ECEC3EC" w14:textId="77777777" w:rsidR="0091485E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F05E1" w14:textId="77777777" w:rsidR="0091485E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17E13" w14:textId="77777777" w:rsidR="0091485E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BF51B" w14:textId="77777777" w:rsidR="00C5717A" w:rsidRPr="00C5717A" w:rsidRDefault="00C5717A" w:rsidP="00C5717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Renata de A. Gonzales</w:t>
            </w:r>
          </w:p>
          <w:p w14:paraId="1596DB1D" w14:textId="77777777" w:rsidR="00C5717A" w:rsidRPr="00C5717A" w:rsidRDefault="00C5717A" w:rsidP="00C5717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sz w:val="24"/>
                <w:szCs w:val="24"/>
              </w:rPr>
              <w:t xml:space="preserve">Assessora </w:t>
            </w:r>
          </w:p>
          <w:p w14:paraId="576093E4" w14:textId="77777777" w:rsidR="00C5717A" w:rsidRPr="00C5717A" w:rsidRDefault="00C5717A" w:rsidP="00C5717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sz w:val="24"/>
                <w:szCs w:val="24"/>
              </w:rPr>
              <w:t>Diretoria de Atenção à Saúde</w:t>
            </w:r>
          </w:p>
          <w:p w14:paraId="00DE8A21" w14:textId="08C12519" w:rsidR="00C5717A" w:rsidRPr="00C5717A" w:rsidRDefault="00C5717A" w:rsidP="00C5717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A">
              <w:rPr>
                <w:rFonts w:ascii="Times New Roman" w:hAnsi="Times New Roman" w:cs="Times New Roman"/>
                <w:sz w:val="24"/>
                <w:szCs w:val="24"/>
              </w:rPr>
              <w:t xml:space="preserve">Mat.: 3.300.054 </w:t>
            </w:r>
          </w:p>
          <w:p w14:paraId="00E32BC9" w14:textId="0D3B2D9F" w:rsidR="0091485E" w:rsidRDefault="0091485E" w:rsidP="00816BD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D5199" w14:textId="77777777" w:rsidR="0091485E" w:rsidRDefault="0091485E" w:rsidP="0091485E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11F58" w14:textId="77777777" w:rsidR="0092495A" w:rsidRDefault="0092495A" w:rsidP="0092495A">
      <w:pPr>
        <w:pStyle w:val="Padro"/>
        <w:spacing w:before="0" w:after="0" w:line="240" w:lineRule="auto"/>
        <w:jc w:val="right"/>
        <w:rPr>
          <w:b/>
          <w:bCs/>
          <w:szCs w:val="24"/>
        </w:rPr>
      </w:pPr>
    </w:p>
    <w:p w14:paraId="3368D2B6" w14:textId="77777777" w:rsidR="00871BBA" w:rsidRDefault="00871BBA" w:rsidP="0092495A">
      <w:pPr>
        <w:pStyle w:val="Padro"/>
        <w:spacing w:before="0" w:after="0" w:line="240" w:lineRule="auto"/>
        <w:jc w:val="right"/>
        <w:rPr>
          <w:b/>
          <w:bCs/>
          <w:szCs w:val="24"/>
        </w:rPr>
      </w:pPr>
    </w:p>
    <w:p w14:paraId="4020C026" w14:textId="0619E133" w:rsidR="0092495A" w:rsidRDefault="0092495A" w:rsidP="0092495A">
      <w:pPr>
        <w:pStyle w:val="Padro"/>
        <w:spacing w:before="0" w:after="0" w:line="240" w:lineRule="auto"/>
        <w:jc w:val="right"/>
        <w:rPr>
          <w:b/>
          <w:bCs/>
          <w:szCs w:val="24"/>
        </w:rPr>
      </w:pPr>
      <w:r>
        <w:rPr>
          <w:b/>
          <w:bCs/>
          <w:szCs w:val="24"/>
        </w:rPr>
        <w:t>Conferido e de acordo,</w:t>
      </w:r>
    </w:p>
    <w:p w14:paraId="437841D4" w14:textId="77777777" w:rsidR="0092495A" w:rsidRDefault="0092495A" w:rsidP="0092495A">
      <w:pPr>
        <w:pStyle w:val="Corpodetextorecuado"/>
        <w:spacing w:before="0" w:after="0" w:line="240" w:lineRule="auto"/>
        <w:ind w:left="0"/>
        <w:jc w:val="right"/>
        <w:rPr>
          <w:b/>
          <w:szCs w:val="24"/>
        </w:rPr>
      </w:pPr>
    </w:p>
    <w:p w14:paraId="0577264D" w14:textId="77777777" w:rsidR="0092495A" w:rsidRDefault="0092495A" w:rsidP="0092495A">
      <w:pPr>
        <w:pStyle w:val="Corpodetextorecuado"/>
        <w:spacing w:before="0" w:after="0" w:line="240" w:lineRule="auto"/>
        <w:ind w:left="0"/>
        <w:jc w:val="right"/>
        <w:rPr>
          <w:b/>
          <w:szCs w:val="24"/>
        </w:rPr>
      </w:pPr>
    </w:p>
    <w:p w14:paraId="69A084BB" w14:textId="77777777" w:rsidR="00871BBA" w:rsidRPr="00AA202F" w:rsidRDefault="00871BBA" w:rsidP="00871BBA">
      <w:pPr>
        <w:spacing w:before="0"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202F">
        <w:rPr>
          <w:rFonts w:ascii="Times New Roman" w:hAnsi="Times New Roman" w:cs="Times New Roman"/>
          <w:b/>
          <w:bCs/>
          <w:sz w:val="24"/>
          <w:szCs w:val="24"/>
        </w:rPr>
        <w:t xml:space="preserve">Claudia Rogéria de Lima Souza </w:t>
      </w:r>
    </w:p>
    <w:p w14:paraId="4E10F8C9" w14:textId="77777777" w:rsidR="00871BBA" w:rsidRPr="00AA202F" w:rsidRDefault="00871BBA" w:rsidP="00871BBA">
      <w:pPr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202F">
        <w:rPr>
          <w:rFonts w:ascii="Times New Roman" w:hAnsi="Times New Roman" w:cs="Times New Roman"/>
          <w:sz w:val="24"/>
          <w:szCs w:val="24"/>
        </w:rPr>
        <w:t>Mat.: 3.300.005</w:t>
      </w:r>
    </w:p>
    <w:p w14:paraId="453D7FC3" w14:textId="49C5F11C" w:rsidR="0092495A" w:rsidRDefault="00871BBA" w:rsidP="00145B85">
      <w:pPr>
        <w:spacing w:before="0" w:after="0" w:line="240" w:lineRule="auto"/>
        <w:jc w:val="right"/>
        <w:rPr>
          <w:szCs w:val="24"/>
        </w:rPr>
      </w:pPr>
      <w:r w:rsidRPr="00AA202F">
        <w:rPr>
          <w:rFonts w:ascii="Times New Roman" w:hAnsi="Times New Roman" w:cs="Times New Roman"/>
          <w:sz w:val="24"/>
          <w:szCs w:val="24"/>
        </w:rPr>
        <w:lastRenderedPageBreak/>
        <w:t>Diretora de Atenção à Saúde</w:t>
      </w:r>
    </w:p>
    <w:sectPr w:rsidR="0092495A" w:rsidSect="00B07881">
      <w:headerReference w:type="default" r:id="rId8"/>
      <w:type w:val="continuous"/>
      <w:pgSz w:w="11906" w:h="16838"/>
      <w:pgMar w:top="1701" w:right="1134" w:bottom="1134" w:left="1701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F8527" w14:textId="77777777" w:rsidR="00B07881" w:rsidRDefault="00B07881" w:rsidP="008D480C">
      <w:pPr>
        <w:spacing w:before="0" w:after="0" w:line="240" w:lineRule="auto"/>
      </w:pPr>
      <w:r>
        <w:separator/>
      </w:r>
    </w:p>
  </w:endnote>
  <w:endnote w:type="continuationSeparator" w:id="0">
    <w:p w14:paraId="004B9BF1" w14:textId="77777777" w:rsidR="00B07881" w:rsidRDefault="00B07881" w:rsidP="008D48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2E4C8" w14:textId="77777777" w:rsidR="00B07881" w:rsidRDefault="00B07881" w:rsidP="008D480C">
      <w:pPr>
        <w:spacing w:before="0" w:after="0" w:line="240" w:lineRule="auto"/>
      </w:pPr>
      <w:r>
        <w:separator/>
      </w:r>
    </w:p>
  </w:footnote>
  <w:footnote w:type="continuationSeparator" w:id="0">
    <w:p w14:paraId="2B5AC883" w14:textId="77777777" w:rsidR="00B07881" w:rsidRDefault="00B07881" w:rsidP="008D480C">
      <w:pPr>
        <w:spacing w:before="0" w:after="0" w:line="240" w:lineRule="auto"/>
      </w:pPr>
      <w:r>
        <w:continuationSeparator/>
      </w:r>
    </w:p>
  </w:footnote>
  <w:footnote w:id="1">
    <w:p w14:paraId="672FC5E1" w14:textId="4CF4DF24" w:rsidR="00540097" w:rsidRPr="00210BEB" w:rsidRDefault="00540097">
      <w:pPr>
        <w:pStyle w:val="Textodenotaderodap"/>
        <w:rPr>
          <w:rFonts w:ascii="Times New Roman" w:hAnsi="Times New Roman" w:cs="Times New Roman"/>
        </w:rPr>
      </w:pPr>
      <w:r w:rsidRPr="00210BEB">
        <w:rPr>
          <w:rStyle w:val="Refdenotaderodap"/>
          <w:rFonts w:ascii="Times New Roman" w:hAnsi="Times New Roman" w:cs="Times New Roman"/>
        </w:rPr>
        <w:footnoteRef/>
      </w:r>
      <w:r w:rsidRPr="00210BEB">
        <w:rPr>
          <w:rFonts w:ascii="Times New Roman" w:hAnsi="Times New Roman" w:cs="Times New Roman"/>
        </w:rPr>
        <w:t xml:space="preserve"> </w:t>
      </w:r>
      <w:hyperlink r:id="rId1" w:history="1">
        <w:r w:rsidRPr="00210BEB">
          <w:rPr>
            <w:rStyle w:val="Hyperlink"/>
            <w:rFonts w:ascii="Times New Roman" w:hAnsi="Times New Roman" w:cs="Times New Roman"/>
          </w:rPr>
          <w:t>https://www.gov.br/agu/pt-br/composicao/cgu/cgu/guiasustentabilidade</w:t>
        </w:r>
      </w:hyperlink>
    </w:p>
  </w:footnote>
  <w:footnote w:id="2">
    <w:p w14:paraId="36B177AA" w14:textId="3D3ED6D5" w:rsidR="00540097" w:rsidRPr="00540097" w:rsidRDefault="00540097">
      <w:pPr>
        <w:pStyle w:val="Textodenotaderodap"/>
        <w:rPr>
          <w:rFonts w:ascii="Cambria" w:hAnsi="Cambria"/>
        </w:rPr>
      </w:pPr>
      <w:r w:rsidRPr="00210BEB">
        <w:rPr>
          <w:rStyle w:val="Refdenotaderodap"/>
          <w:rFonts w:ascii="Times New Roman" w:hAnsi="Times New Roman" w:cs="Times New Roman"/>
        </w:rPr>
        <w:footnoteRef/>
      </w:r>
      <w:r w:rsidRPr="00210BEB">
        <w:rPr>
          <w:rFonts w:ascii="Times New Roman" w:hAnsi="Times New Roman" w:cs="Times New Roman"/>
        </w:rPr>
        <w:t xml:space="preserve"> </w:t>
      </w:r>
      <w:hyperlink r:id="rId2" w:history="1">
        <w:r w:rsidRPr="00210BEB">
          <w:rPr>
            <w:rStyle w:val="Hyperlink"/>
            <w:rFonts w:ascii="Times New Roman" w:hAnsi="Times New Roman" w:cs="Times New Roman"/>
          </w:rPr>
          <w:t>https://www.gov.br/agu/pt-br/composicao/cgu/cgu/guias/gncs_082022.pdf</w:t>
        </w:r>
      </w:hyperlink>
    </w:p>
  </w:footnote>
  <w:footnote w:id="3">
    <w:p w14:paraId="2868F758" w14:textId="515CF560" w:rsidR="00876452" w:rsidRPr="00F314AE" w:rsidRDefault="00876452">
      <w:pPr>
        <w:pStyle w:val="Textodenotaderodap"/>
        <w:rPr>
          <w:rFonts w:ascii="Times New Roman" w:hAnsi="Times New Roman" w:cs="Times New Roman"/>
        </w:rPr>
      </w:pPr>
      <w:r w:rsidRPr="00F314AE">
        <w:rPr>
          <w:rStyle w:val="Refdenotaderodap"/>
          <w:rFonts w:ascii="Times New Roman" w:hAnsi="Times New Roman" w:cs="Times New Roman"/>
        </w:rPr>
        <w:footnoteRef/>
      </w:r>
      <w:r w:rsidRPr="00F314AE">
        <w:rPr>
          <w:rFonts w:ascii="Times New Roman" w:hAnsi="Times New Roman" w:cs="Times New Roman"/>
        </w:rPr>
        <w:t xml:space="preserve"> Saliente-se que a função do Gestor do Contrato não afasta a necessidade de observância irrestrita das atribuições dos órgãos que compõem a estrutura da FEMAR, especialmente no que compete à promoção e instrução dos processos de pagamento, na forma do que dispõem os artigos 37 a 41 do Regimento Interno da FEMAR (Resolução n.º 04/2023, publicado no JOM n.º 1459, de 05 de junho de 2023).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3073" w:type="dxa"/>
      <w:tblInd w:w="6005" w:type="dxa"/>
      <w:tblLook w:val="04A0" w:firstRow="1" w:lastRow="0" w:firstColumn="1" w:lastColumn="0" w:noHBand="0" w:noVBand="1"/>
    </w:tblPr>
    <w:tblGrid>
      <w:gridCol w:w="1728"/>
      <w:gridCol w:w="1345"/>
    </w:tblGrid>
    <w:tr w:rsidR="00BD104D" w:rsidRPr="00210BEB" w14:paraId="30EA7BF5" w14:textId="77777777" w:rsidTr="00506097">
      <w:trPr>
        <w:trHeight w:val="232"/>
      </w:trPr>
      <w:tc>
        <w:tcPr>
          <w:tcW w:w="3073" w:type="dxa"/>
          <w:gridSpan w:val="2"/>
          <w:vAlign w:val="center"/>
        </w:tcPr>
        <w:p w14:paraId="3955F025" w14:textId="77777777" w:rsidR="00BD104D" w:rsidRPr="00210BEB" w:rsidRDefault="00BD104D" w:rsidP="006F0B36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210BEB">
            <w:rPr>
              <w:rFonts w:ascii="Times New Roman" w:hAnsi="Times New Roman" w:cs="Times New Roman"/>
              <w:sz w:val="20"/>
              <w:szCs w:val="20"/>
            </w:rPr>
            <w:t>FEMAR</w:t>
          </w:r>
        </w:p>
      </w:tc>
    </w:tr>
    <w:tr w:rsidR="00BD104D" w:rsidRPr="00210BEB" w14:paraId="1EF88179" w14:textId="77777777" w:rsidTr="00506097">
      <w:trPr>
        <w:trHeight w:val="225"/>
      </w:trPr>
      <w:tc>
        <w:tcPr>
          <w:tcW w:w="1728" w:type="dxa"/>
          <w:vAlign w:val="center"/>
        </w:tcPr>
        <w:p w14:paraId="2EA2288B" w14:textId="77777777" w:rsidR="00BD104D" w:rsidRPr="00210BEB" w:rsidRDefault="00BD104D" w:rsidP="006F0B36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210BEB">
            <w:rPr>
              <w:rFonts w:ascii="Times New Roman" w:hAnsi="Times New Roman" w:cs="Times New Roman"/>
              <w:noProof/>
              <w:sz w:val="20"/>
              <w:szCs w:val="20"/>
            </w:rPr>
            <w:t>Processo Número</w:t>
          </w:r>
        </w:p>
      </w:tc>
      <w:tc>
        <w:tcPr>
          <w:tcW w:w="1345" w:type="dxa"/>
          <w:vAlign w:val="center"/>
        </w:tcPr>
        <w:p w14:paraId="1DFA1B5D" w14:textId="4EA9AAA9" w:rsidR="00BD104D" w:rsidRPr="00210BEB" w:rsidRDefault="00F314AE" w:rsidP="006F0B36">
          <w:pPr>
            <w:pStyle w:val="Cabealh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t>5865</w:t>
          </w:r>
          <w:r w:rsidR="00BD104D" w:rsidRPr="00210BEB">
            <w:rPr>
              <w:rFonts w:ascii="Times New Roman" w:hAnsi="Times New Roman" w:cs="Times New Roman"/>
              <w:noProof/>
              <w:sz w:val="20"/>
              <w:szCs w:val="20"/>
            </w:rPr>
            <w:t>/202</w:t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</w:p>
      </w:tc>
    </w:tr>
    <w:tr w:rsidR="00BD104D" w:rsidRPr="00210BEB" w14:paraId="79086811" w14:textId="77777777" w:rsidTr="00506097">
      <w:trPr>
        <w:trHeight w:val="232"/>
      </w:trPr>
      <w:tc>
        <w:tcPr>
          <w:tcW w:w="1728" w:type="dxa"/>
          <w:vAlign w:val="center"/>
        </w:tcPr>
        <w:p w14:paraId="3E8BCBC2" w14:textId="77777777" w:rsidR="00BD104D" w:rsidRPr="00210BEB" w:rsidRDefault="00BD104D" w:rsidP="006F0B36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210BEB">
            <w:rPr>
              <w:rFonts w:ascii="Times New Roman" w:hAnsi="Times New Roman" w:cs="Times New Roman"/>
              <w:noProof/>
              <w:sz w:val="20"/>
              <w:szCs w:val="20"/>
            </w:rPr>
            <w:t>Data do Ínício</w:t>
          </w:r>
        </w:p>
      </w:tc>
      <w:tc>
        <w:tcPr>
          <w:tcW w:w="1345" w:type="dxa"/>
          <w:vAlign w:val="center"/>
        </w:tcPr>
        <w:p w14:paraId="1414B249" w14:textId="1FAA898A" w:rsidR="00BD104D" w:rsidRPr="00210BEB" w:rsidRDefault="00F314AE" w:rsidP="006F0B36">
          <w:pPr>
            <w:pStyle w:val="Cabealh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</w:rPr>
            <w:t>05/03/</w:t>
          </w:r>
          <w:r w:rsidR="00BD104D" w:rsidRPr="00210BEB">
            <w:rPr>
              <w:rFonts w:ascii="Times New Roman" w:hAnsi="Times New Roman" w:cs="Times New Roman"/>
              <w:noProof/>
              <w:sz w:val="20"/>
              <w:szCs w:val="20"/>
            </w:rPr>
            <w:t>202</w:t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</w:p>
      </w:tc>
    </w:tr>
    <w:tr w:rsidR="00BD104D" w:rsidRPr="00210BEB" w14:paraId="6935BFE2" w14:textId="77777777" w:rsidTr="00506097">
      <w:trPr>
        <w:trHeight w:val="225"/>
      </w:trPr>
      <w:tc>
        <w:tcPr>
          <w:tcW w:w="1728" w:type="dxa"/>
          <w:vAlign w:val="center"/>
        </w:tcPr>
        <w:p w14:paraId="528D544D" w14:textId="77777777" w:rsidR="00BD104D" w:rsidRPr="00210BEB" w:rsidRDefault="00BD104D" w:rsidP="006F0B36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210BEB">
            <w:rPr>
              <w:rFonts w:ascii="Times New Roman" w:hAnsi="Times New Roman" w:cs="Times New Roman"/>
              <w:noProof/>
              <w:sz w:val="20"/>
              <w:szCs w:val="20"/>
            </w:rPr>
            <w:t>Folha</w:t>
          </w:r>
        </w:p>
      </w:tc>
      <w:tc>
        <w:tcPr>
          <w:tcW w:w="1345" w:type="dxa"/>
          <w:vAlign w:val="center"/>
        </w:tcPr>
        <w:p w14:paraId="12E7FF31" w14:textId="77777777" w:rsidR="00BD104D" w:rsidRPr="00210BEB" w:rsidRDefault="00BD104D" w:rsidP="006F0B36">
          <w:pPr>
            <w:pStyle w:val="Cabealho"/>
            <w:jc w:val="center"/>
            <w:rPr>
              <w:rFonts w:ascii="Times New Roman" w:hAnsi="Times New Roman" w:cs="Times New Roman"/>
            </w:rPr>
          </w:pPr>
        </w:p>
      </w:tc>
    </w:tr>
    <w:tr w:rsidR="00BD104D" w:rsidRPr="00210BEB" w14:paraId="53F3BAA3" w14:textId="77777777" w:rsidTr="00506097">
      <w:trPr>
        <w:trHeight w:val="232"/>
      </w:trPr>
      <w:tc>
        <w:tcPr>
          <w:tcW w:w="1728" w:type="dxa"/>
          <w:vAlign w:val="center"/>
        </w:tcPr>
        <w:p w14:paraId="4E0F2D13" w14:textId="77777777" w:rsidR="00BD104D" w:rsidRPr="00210BEB" w:rsidRDefault="00BD104D" w:rsidP="006F0B36">
          <w:pPr>
            <w:pStyle w:val="Cabealho"/>
            <w:jc w:val="center"/>
            <w:rPr>
              <w:rFonts w:ascii="Times New Roman" w:hAnsi="Times New Roman" w:cs="Times New Roman"/>
            </w:rPr>
          </w:pPr>
          <w:r w:rsidRPr="00210BEB">
            <w:rPr>
              <w:rFonts w:ascii="Times New Roman" w:hAnsi="Times New Roman" w:cs="Times New Roman"/>
              <w:noProof/>
              <w:sz w:val="20"/>
              <w:szCs w:val="20"/>
            </w:rPr>
            <w:t>Rubrica</w:t>
          </w:r>
        </w:p>
      </w:tc>
      <w:tc>
        <w:tcPr>
          <w:tcW w:w="1345" w:type="dxa"/>
          <w:vAlign w:val="center"/>
        </w:tcPr>
        <w:p w14:paraId="374101ED" w14:textId="77777777" w:rsidR="00BD104D" w:rsidRPr="00210BEB" w:rsidRDefault="00BD104D" w:rsidP="006F0B36">
          <w:pPr>
            <w:pStyle w:val="Cabealho"/>
            <w:jc w:val="center"/>
            <w:rPr>
              <w:rFonts w:ascii="Times New Roman" w:hAnsi="Times New Roman" w:cs="Times New Roman"/>
            </w:rPr>
          </w:pPr>
        </w:p>
      </w:tc>
    </w:tr>
  </w:tbl>
  <w:p w14:paraId="484BDB60" w14:textId="66B64D77" w:rsidR="00BD104D" w:rsidRPr="006F0B36" w:rsidRDefault="00210BEB" w:rsidP="006F0B36">
    <w:pPr>
      <w:pStyle w:val="Cabealho"/>
    </w:pPr>
    <w:r>
      <w:rPr>
        <w:rFonts w:ascii="Cambria" w:hAnsi="Cambria" w:cs="Times New Roman"/>
        <w:noProof/>
        <w:sz w:val="20"/>
        <w:szCs w:val="20"/>
      </w:rPr>
      <w:drawing>
        <wp:anchor distT="0" distB="0" distL="114300" distR="114300" simplePos="0" relativeHeight="251666432" behindDoc="1" locked="0" layoutInCell="0" allowOverlap="1" wp14:anchorId="74770E5D" wp14:editId="0843385A">
          <wp:simplePos x="0" y="0"/>
          <wp:positionH relativeFrom="margin">
            <wp:posOffset>-1003935</wp:posOffset>
          </wp:positionH>
          <wp:positionV relativeFrom="margin">
            <wp:posOffset>-1301115</wp:posOffset>
          </wp:positionV>
          <wp:extent cx="7505700" cy="10610850"/>
          <wp:effectExtent l="0" t="0" r="0" b="0"/>
          <wp:wrapNone/>
          <wp:docPr id="144428568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061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CF3990" wp14:editId="1C807CDF">
              <wp:simplePos x="0" y="0"/>
              <wp:positionH relativeFrom="column">
                <wp:posOffset>1034415</wp:posOffset>
              </wp:positionH>
              <wp:positionV relativeFrom="paragraph">
                <wp:posOffset>-799465</wp:posOffset>
              </wp:positionV>
              <wp:extent cx="2714625" cy="781050"/>
              <wp:effectExtent l="0" t="0" r="9525" b="0"/>
              <wp:wrapNone/>
              <wp:docPr id="1562757627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E1BC01" w14:textId="77777777" w:rsidR="00BD104D" w:rsidRPr="00210BEB" w:rsidRDefault="00BD104D" w:rsidP="00210BEB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sz w:val="18"/>
                              <w:szCs w:val="16"/>
                            </w:rPr>
                          </w:pPr>
                          <w:r w:rsidRPr="00210BEB">
                            <w:rPr>
                              <w:rFonts w:ascii="Times New Roman" w:hAnsi="Times New Roman" w:cs="Times New Roman"/>
                              <w:sz w:val="18"/>
                              <w:szCs w:val="16"/>
                            </w:rPr>
                            <w:t>FUNDAÇÃO ESTATAL DE SAÚDE DE MARICÁ</w:t>
                          </w:r>
                        </w:p>
                        <w:p w14:paraId="6CF61E58" w14:textId="3C86E1E5" w:rsidR="00BD104D" w:rsidRPr="00210BEB" w:rsidRDefault="00BD104D" w:rsidP="00210BEB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10B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DIRETORIA </w:t>
                          </w:r>
                          <w:r w:rsidR="00210BEB" w:rsidRPr="00210B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ADMINISTRATIVA</w:t>
                          </w:r>
                        </w:p>
                        <w:p w14:paraId="74656EC6" w14:textId="4D48935A" w:rsidR="00210BEB" w:rsidRPr="00210BEB" w:rsidRDefault="00210BEB" w:rsidP="00210BEB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10B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SUPERINTENDÊNCIA DE PROCESSOS, </w:t>
                          </w:r>
                        </w:p>
                        <w:p w14:paraId="4C6BFD45" w14:textId="6E5CED65" w:rsidR="00210BEB" w:rsidRPr="00210BEB" w:rsidRDefault="00210BEB" w:rsidP="00210BEB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10B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CONTRATOS E PAGAMENTO</w:t>
                          </w:r>
                        </w:p>
                        <w:p w14:paraId="33FE4D90" w14:textId="26820F2E" w:rsidR="00210BEB" w:rsidRPr="00210BEB" w:rsidRDefault="00210BEB" w:rsidP="00210BEB">
                          <w:pPr>
                            <w:spacing w:before="0" w:after="0" w:line="24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10BE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GERÊNCIA DE INSTRUÇÃO PROCESSUAL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F399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1.45pt;margin-top:-62.95pt;width:213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" fillcolor="white [3201]" stroked="f" strokeweight=".5pt">
              <v:textbox>
                <w:txbxContent>
                  <w:p w14:paraId="16E1BC01" w14:textId="77777777" w:rsidR="00BD104D" w:rsidRPr="00210BEB" w:rsidRDefault="00BD104D" w:rsidP="00210BEB">
                    <w:pPr>
                      <w:pStyle w:val="Cabealho"/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</w:pPr>
                    <w:r w:rsidRPr="00210BEB"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  <w:t>FUNDAÇÃO ESTATAL DE SAÚDE DE MARICÁ</w:t>
                    </w:r>
                  </w:p>
                  <w:p w14:paraId="6CF61E58" w14:textId="3C86E1E5" w:rsidR="00BD104D" w:rsidRPr="00210BEB" w:rsidRDefault="00BD104D" w:rsidP="00210BEB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10BE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DIRETORIA </w:t>
                    </w:r>
                    <w:r w:rsidR="00210BEB" w:rsidRPr="00210BE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ADMINISTRATIVA</w:t>
                    </w:r>
                  </w:p>
                  <w:p w14:paraId="74656EC6" w14:textId="4D48935A" w:rsidR="00210BEB" w:rsidRPr="00210BEB" w:rsidRDefault="00210BEB" w:rsidP="00210BEB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10BE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SUPERINTENDÊNCIA DE PROCESSOS, </w:t>
                    </w:r>
                  </w:p>
                  <w:p w14:paraId="4C6BFD45" w14:textId="6E5CED65" w:rsidR="00210BEB" w:rsidRPr="00210BEB" w:rsidRDefault="00210BEB" w:rsidP="00210BEB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10BE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CONTRATOS E PAGAMENTO</w:t>
                    </w:r>
                  </w:p>
                  <w:p w14:paraId="33FE4D90" w14:textId="26820F2E" w:rsidR="00210BEB" w:rsidRPr="00210BEB" w:rsidRDefault="00210BEB" w:rsidP="00210BEB">
                    <w:pPr>
                      <w:spacing w:before="0"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10BE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GERÊNCIA DE INSTRUÇÃO PROCESSUAL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7B6"/>
    <w:multiLevelType w:val="hybridMultilevel"/>
    <w:tmpl w:val="10B08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B43"/>
    <w:multiLevelType w:val="multilevel"/>
    <w:tmpl w:val="F9D638FE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36CFE"/>
    <w:multiLevelType w:val="multilevel"/>
    <w:tmpl w:val="52002A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156987"/>
    <w:multiLevelType w:val="multilevel"/>
    <w:tmpl w:val="F9D638FE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C015DC"/>
    <w:multiLevelType w:val="multilevel"/>
    <w:tmpl w:val="08B2F870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11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5" w15:restartNumberingAfterBreak="0">
    <w:nsid w:val="13FE2169"/>
    <w:multiLevelType w:val="multilevel"/>
    <w:tmpl w:val="C6867D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152BE"/>
    <w:multiLevelType w:val="multilevel"/>
    <w:tmpl w:val="1B3C21EE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bCs/>
        <w:i w:val="0"/>
        <w:iCs w:val="0"/>
        <w:sz w:val="28"/>
        <w:szCs w:val="28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1D5C100D"/>
    <w:multiLevelType w:val="multilevel"/>
    <w:tmpl w:val="F340890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Nivel2"/>
      <w:lvlText w:val="%1.%2."/>
      <w:lvlJc w:val="left"/>
      <w:pPr>
        <w:ind w:left="716" w:hanging="432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ivel3"/>
      <w:lvlText w:val="%3)"/>
      <w:lvlJc w:val="left"/>
      <w:pPr>
        <w:ind w:left="1214" w:hanging="504"/>
      </w:pPr>
      <w:rPr>
        <w:rFonts w:ascii="Times New Roman" w:eastAsia="Calibri" w:hAnsi="Times New Roman" w:cs="Times New Roman"/>
        <w:b w:val="0"/>
        <w:bCs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1B2893"/>
    <w:multiLevelType w:val="multilevel"/>
    <w:tmpl w:val="0422E5A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none"/>
      <w:lvlText w:val="2.1."/>
      <w:lvlJc w:val="left"/>
      <w:pPr>
        <w:ind w:left="360" w:hanging="360"/>
      </w:pPr>
      <w:rPr>
        <w:rFonts w:eastAsia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 w15:restartNumberingAfterBreak="0">
    <w:nsid w:val="1E851610"/>
    <w:multiLevelType w:val="hybridMultilevel"/>
    <w:tmpl w:val="EB467A24"/>
    <w:lvl w:ilvl="0" w:tplc="5B1CA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BF1548"/>
    <w:multiLevelType w:val="hybridMultilevel"/>
    <w:tmpl w:val="7FA2F334"/>
    <w:lvl w:ilvl="0" w:tplc="6B6C72B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13AC7"/>
    <w:multiLevelType w:val="multilevel"/>
    <w:tmpl w:val="48FE9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650193"/>
    <w:multiLevelType w:val="hybridMultilevel"/>
    <w:tmpl w:val="4684CAB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690DB9"/>
    <w:multiLevelType w:val="multilevel"/>
    <w:tmpl w:val="EA52F6B4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1" w:hanging="8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D16DB8"/>
    <w:multiLevelType w:val="hybridMultilevel"/>
    <w:tmpl w:val="19D0CA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BE0401"/>
    <w:multiLevelType w:val="multilevel"/>
    <w:tmpl w:val="1CE622E8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11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6" w15:restartNumberingAfterBreak="0">
    <w:nsid w:val="35F23C14"/>
    <w:multiLevelType w:val="hybridMultilevel"/>
    <w:tmpl w:val="19E233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B74F5"/>
    <w:multiLevelType w:val="hybridMultilevel"/>
    <w:tmpl w:val="091E3D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D5F41"/>
    <w:multiLevelType w:val="multilevel"/>
    <w:tmpl w:val="2A14B00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B5653C"/>
    <w:multiLevelType w:val="multilevel"/>
    <w:tmpl w:val="92020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DD46FC"/>
    <w:multiLevelType w:val="multilevel"/>
    <w:tmpl w:val="81806F10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16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21" w15:restartNumberingAfterBreak="0">
    <w:nsid w:val="454C386F"/>
    <w:multiLevelType w:val="multilevel"/>
    <w:tmpl w:val="1DAE063E"/>
    <w:lvl w:ilvl="0">
      <w:start w:val="3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7B4487"/>
    <w:multiLevelType w:val="hybridMultilevel"/>
    <w:tmpl w:val="A96623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F3277"/>
    <w:multiLevelType w:val="multilevel"/>
    <w:tmpl w:val="1B608282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1A58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E30D92"/>
    <w:multiLevelType w:val="multilevel"/>
    <w:tmpl w:val="D044422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304" w:hanging="5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385A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02C7435"/>
    <w:multiLevelType w:val="multilevel"/>
    <w:tmpl w:val="CDE20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A03FEB"/>
    <w:multiLevelType w:val="multilevel"/>
    <w:tmpl w:val="8BF4A57C"/>
    <w:lvl w:ilvl="0">
      <w:start w:val="9"/>
      <w:numFmt w:val="decimal"/>
      <w:lvlText w:val="%1."/>
      <w:lvlJc w:val="left"/>
      <w:pPr>
        <w:ind w:left="360" w:hanging="360"/>
      </w:pPr>
      <w:rPr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  <w:color w:val="000000" w:themeColor="text1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ascii="Times New Roman" w:eastAsia="Calibri" w:hAnsi="Times New Roman" w:cs="Times New Roman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 w:themeColor="text1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 w:themeColor="text1"/>
      </w:rPr>
    </w:lvl>
  </w:abstractNum>
  <w:abstractNum w:abstractNumId="29" w15:restartNumberingAfterBreak="0">
    <w:nsid w:val="51D0571B"/>
    <w:multiLevelType w:val="hybridMultilevel"/>
    <w:tmpl w:val="BC0221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C04A4"/>
    <w:multiLevelType w:val="multilevel"/>
    <w:tmpl w:val="6C266256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54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050158E"/>
    <w:multiLevelType w:val="hybridMultilevel"/>
    <w:tmpl w:val="C862F3E2"/>
    <w:lvl w:ilvl="0" w:tplc="908E0684">
      <w:start w:val="1"/>
      <w:numFmt w:val="decimal"/>
      <w:lvlText w:val="%1)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521F0"/>
    <w:multiLevelType w:val="hybridMultilevel"/>
    <w:tmpl w:val="36140B9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7919B4"/>
    <w:multiLevelType w:val="hybridMultilevel"/>
    <w:tmpl w:val="945E5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13A50"/>
    <w:multiLevelType w:val="multilevel"/>
    <w:tmpl w:val="E24CF87C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ind w:left="1474" w:hanging="765"/>
      </w:pPr>
      <w:rPr>
        <w:rFonts w:hint="default"/>
        <w:sz w:val="24"/>
        <w:szCs w:val="28"/>
      </w:rPr>
    </w:lvl>
    <w:lvl w:ilvl="3">
      <w:start w:val="1"/>
      <w:numFmt w:val="decimal"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1" w:hanging="709"/>
      </w:pPr>
      <w:rPr>
        <w:rFonts w:hint="default"/>
      </w:rPr>
    </w:lvl>
  </w:abstractNum>
  <w:abstractNum w:abstractNumId="35" w15:restartNumberingAfterBreak="0">
    <w:nsid w:val="65D26E09"/>
    <w:multiLevelType w:val="multilevel"/>
    <w:tmpl w:val="2F3C8AA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1" w:hanging="709"/>
      </w:pPr>
      <w:rPr>
        <w:rFonts w:hint="default"/>
      </w:rPr>
    </w:lvl>
  </w:abstractNum>
  <w:abstractNum w:abstractNumId="36" w15:restartNumberingAfterBreak="0">
    <w:nsid w:val="661C0800"/>
    <w:multiLevelType w:val="multilevel"/>
    <w:tmpl w:val="F9D638FE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43725C"/>
    <w:multiLevelType w:val="multilevel"/>
    <w:tmpl w:val="18CE018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14E0B01"/>
    <w:multiLevelType w:val="multilevel"/>
    <w:tmpl w:val="DB341A7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531" w:hanging="8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2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1C635C"/>
    <w:multiLevelType w:val="hybridMultilevel"/>
    <w:tmpl w:val="1B04D5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E19D5"/>
    <w:multiLevelType w:val="multilevel"/>
    <w:tmpl w:val="2A14B006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4D759D"/>
    <w:multiLevelType w:val="multilevel"/>
    <w:tmpl w:val="F9D638FE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FE3CE6"/>
    <w:multiLevelType w:val="multilevel"/>
    <w:tmpl w:val="F9D638FE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3414581">
    <w:abstractNumId w:val="34"/>
  </w:num>
  <w:num w:numId="2" w16cid:durableId="867794295">
    <w:abstractNumId w:val="25"/>
  </w:num>
  <w:num w:numId="3" w16cid:durableId="64957410">
    <w:abstractNumId w:val="33"/>
  </w:num>
  <w:num w:numId="4" w16cid:durableId="774329633">
    <w:abstractNumId w:val="31"/>
  </w:num>
  <w:num w:numId="5" w16cid:durableId="203102382">
    <w:abstractNumId w:val="29"/>
  </w:num>
  <w:num w:numId="6" w16cid:durableId="1337611749">
    <w:abstractNumId w:val="35"/>
  </w:num>
  <w:num w:numId="7" w16cid:durableId="491600942">
    <w:abstractNumId w:val="10"/>
  </w:num>
  <w:num w:numId="8" w16cid:durableId="505364820">
    <w:abstractNumId w:val="11"/>
  </w:num>
  <w:num w:numId="9" w16cid:durableId="710305889">
    <w:abstractNumId w:val="37"/>
  </w:num>
  <w:num w:numId="10" w16cid:durableId="50859056">
    <w:abstractNumId w:val="5"/>
  </w:num>
  <w:num w:numId="11" w16cid:durableId="2090536116">
    <w:abstractNumId w:val="30"/>
  </w:num>
  <w:num w:numId="12" w16cid:durableId="2077820379">
    <w:abstractNumId w:val="23"/>
  </w:num>
  <w:num w:numId="13" w16cid:durableId="527987086">
    <w:abstractNumId w:val="13"/>
  </w:num>
  <w:num w:numId="14" w16cid:durableId="96025430">
    <w:abstractNumId w:val="12"/>
  </w:num>
  <w:num w:numId="15" w16cid:durableId="1091195908">
    <w:abstractNumId w:val="38"/>
  </w:num>
  <w:num w:numId="16" w16cid:durableId="1499686415">
    <w:abstractNumId w:val="32"/>
  </w:num>
  <w:num w:numId="17" w16cid:durableId="797842781">
    <w:abstractNumId w:val="14"/>
  </w:num>
  <w:num w:numId="18" w16cid:durableId="794179108">
    <w:abstractNumId w:val="6"/>
  </w:num>
  <w:num w:numId="19" w16cid:durableId="731198998">
    <w:abstractNumId w:val="27"/>
  </w:num>
  <w:num w:numId="20" w16cid:durableId="938491466">
    <w:abstractNumId w:val="2"/>
  </w:num>
  <w:num w:numId="21" w16cid:durableId="10602082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9998188">
    <w:abstractNumId w:val="19"/>
  </w:num>
  <w:num w:numId="23" w16cid:durableId="1612321767">
    <w:abstractNumId w:val="14"/>
  </w:num>
  <w:num w:numId="24" w16cid:durableId="1003438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3832055">
    <w:abstractNumId w:val="17"/>
  </w:num>
  <w:num w:numId="26" w16cid:durableId="435100073">
    <w:abstractNumId w:val="9"/>
  </w:num>
  <w:num w:numId="27" w16cid:durableId="564686424">
    <w:abstractNumId w:val="0"/>
  </w:num>
  <w:num w:numId="28" w16cid:durableId="543639430">
    <w:abstractNumId w:val="26"/>
  </w:num>
  <w:num w:numId="29" w16cid:durableId="1530610249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7474867">
    <w:abstractNumId w:val="20"/>
  </w:num>
  <w:num w:numId="31" w16cid:durableId="371809998">
    <w:abstractNumId w:val="8"/>
  </w:num>
  <w:num w:numId="32" w16cid:durableId="1495484810">
    <w:abstractNumId w:val="21"/>
  </w:num>
  <w:num w:numId="33" w16cid:durableId="97021352">
    <w:abstractNumId w:val="40"/>
  </w:num>
  <w:num w:numId="34" w16cid:durableId="1123423907">
    <w:abstractNumId w:val="4"/>
  </w:num>
  <w:num w:numId="35" w16cid:durableId="933049921">
    <w:abstractNumId w:val="15"/>
  </w:num>
  <w:num w:numId="36" w16cid:durableId="273634589">
    <w:abstractNumId w:val="39"/>
  </w:num>
  <w:num w:numId="37" w16cid:durableId="1527014074">
    <w:abstractNumId w:val="16"/>
  </w:num>
  <w:num w:numId="38" w16cid:durableId="1159886430">
    <w:abstractNumId w:val="22"/>
  </w:num>
  <w:num w:numId="39" w16cid:durableId="506136884">
    <w:abstractNumId w:val="18"/>
  </w:num>
  <w:num w:numId="40" w16cid:durableId="491264928">
    <w:abstractNumId w:val="1"/>
  </w:num>
  <w:num w:numId="41" w16cid:durableId="630945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441749">
    <w:abstractNumId w:val="42"/>
  </w:num>
  <w:num w:numId="43" w16cid:durableId="646082585">
    <w:abstractNumId w:val="36"/>
  </w:num>
  <w:num w:numId="44" w16cid:durableId="1652053855">
    <w:abstractNumId w:val="41"/>
  </w:num>
  <w:num w:numId="45" w16cid:durableId="709233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CF"/>
    <w:rsid w:val="00042AD2"/>
    <w:rsid w:val="000644D6"/>
    <w:rsid w:val="000647D6"/>
    <w:rsid w:val="00066E20"/>
    <w:rsid w:val="000870DA"/>
    <w:rsid w:val="00087DA9"/>
    <w:rsid w:val="000A056F"/>
    <w:rsid w:val="000A6311"/>
    <w:rsid w:val="000D6CC7"/>
    <w:rsid w:val="000E0266"/>
    <w:rsid w:val="000F422B"/>
    <w:rsid w:val="000F69A6"/>
    <w:rsid w:val="001143B4"/>
    <w:rsid w:val="00145B85"/>
    <w:rsid w:val="001631E9"/>
    <w:rsid w:val="001703B5"/>
    <w:rsid w:val="001A5939"/>
    <w:rsid w:val="001A5F26"/>
    <w:rsid w:val="001B4DE9"/>
    <w:rsid w:val="00202485"/>
    <w:rsid w:val="00210BEB"/>
    <w:rsid w:val="00216065"/>
    <w:rsid w:val="00224B61"/>
    <w:rsid w:val="00276914"/>
    <w:rsid w:val="00282222"/>
    <w:rsid w:val="002B7A6F"/>
    <w:rsid w:val="002D24A8"/>
    <w:rsid w:val="002E15EF"/>
    <w:rsid w:val="002E7166"/>
    <w:rsid w:val="002F5C63"/>
    <w:rsid w:val="0030777F"/>
    <w:rsid w:val="00335349"/>
    <w:rsid w:val="00336B27"/>
    <w:rsid w:val="00340996"/>
    <w:rsid w:val="0035071E"/>
    <w:rsid w:val="00362839"/>
    <w:rsid w:val="00375848"/>
    <w:rsid w:val="003914FE"/>
    <w:rsid w:val="003B2F0C"/>
    <w:rsid w:val="003B37FE"/>
    <w:rsid w:val="003C18BC"/>
    <w:rsid w:val="003E6998"/>
    <w:rsid w:val="0041258E"/>
    <w:rsid w:val="0045552F"/>
    <w:rsid w:val="00467317"/>
    <w:rsid w:val="004A01BB"/>
    <w:rsid w:val="004E7EB4"/>
    <w:rsid w:val="00510FE7"/>
    <w:rsid w:val="00513D6C"/>
    <w:rsid w:val="00531553"/>
    <w:rsid w:val="005321C8"/>
    <w:rsid w:val="00540097"/>
    <w:rsid w:val="00566F78"/>
    <w:rsid w:val="0057058B"/>
    <w:rsid w:val="00574BC7"/>
    <w:rsid w:val="00612DC8"/>
    <w:rsid w:val="00614375"/>
    <w:rsid w:val="00622EDB"/>
    <w:rsid w:val="00631479"/>
    <w:rsid w:val="006546E8"/>
    <w:rsid w:val="00654AB5"/>
    <w:rsid w:val="00662AE4"/>
    <w:rsid w:val="00691615"/>
    <w:rsid w:val="006B08F4"/>
    <w:rsid w:val="006C0B01"/>
    <w:rsid w:val="006F6BA9"/>
    <w:rsid w:val="0070231A"/>
    <w:rsid w:val="007178DF"/>
    <w:rsid w:val="00722DF8"/>
    <w:rsid w:val="00733428"/>
    <w:rsid w:val="00741513"/>
    <w:rsid w:val="00750DA3"/>
    <w:rsid w:val="00765400"/>
    <w:rsid w:val="007758E4"/>
    <w:rsid w:val="007B2C1A"/>
    <w:rsid w:val="007F7DCF"/>
    <w:rsid w:val="00831ACF"/>
    <w:rsid w:val="00836EE3"/>
    <w:rsid w:val="00841F75"/>
    <w:rsid w:val="008433FB"/>
    <w:rsid w:val="008567A6"/>
    <w:rsid w:val="00863F57"/>
    <w:rsid w:val="00871BBA"/>
    <w:rsid w:val="00876452"/>
    <w:rsid w:val="00884FEE"/>
    <w:rsid w:val="008943E0"/>
    <w:rsid w:val="008A235E"/>
    <w:rsid w:val="008B04C5"/>
    <w:rsid w:val="008C5BDD"/>
    <w:rsid w:val="008C6F83"/>
    <w:rsid w:val="008D480C"/>
    <w:rsid w:val="008E06DF"/>
    <w:rsid w:val="0091485E"/>
    <w:rsid w:val="00921D6A"/>
    <w:rsid w:val="0092495A"/>
    <w:rsid w:val="00941C99"/>
    <w:rsid w:val="00967CDC"/>
    <w:rsid w:val="009729FA"/>
    <w:rsid w:val="009A2451"/>
    <w:rsid w:val="009C7DF2"/>
    <w:rsid w:val="009C7EB5"/>
    <w:rsid w:val="009F1D7F"/>
    <w:rsid w:val="00A0748C"/>
    <w:rsid w:val="00A07E6D"/>
    <w:rsid w:val="00A22F0E"/>
    <w:rsid w:val="00A35171"/>
    <w:rsid w:val="00A35ACF"/>
    <w:rsid w:val="00A55E72"/>
    <w:rsid w:val="00A676E3"/>
    <w:rsid w:val="00A91467"/>
    <w:rsid w:val="00A94BF8"/>
    <w:rsid w:val="00AA202F"/>
    <w:rsid w:val="00AB4C4B"/>
    <w:rsid w:val="00AD11C5"/>
    <w:rsid w:val="00AD285F"/>
    <w:rsid w:val="00AD7333"/>
    <w:rsid w:val="00AF08DE"/>
    <w:rsid w:val="00B038D1"/>
    <w:rsid w:val="00B07881"/>
    <w:rsid w:val="00B14F54"/>
    <w:rsid w:val="00B736AF"/>
    <w:rsid w:val="00BB1620"/>
    <w:rsid w:val="00BD104D"/>
    <w:rsid w:val="00BD7C63"/>
    <w:rsid w:val="00BE05BD"/>
    <w:rsid w:val="00BF330B"/>
    <w:rsid w:val="00BF4AF2"/>
    <w:rsid w:val="00C259F3"/>
    <w:rsid w:val="00C32EE8"/>
    <w:rsid w:val="00C52A95"/>
    <w:rsid w:val="00C53280"/>
    <w:rsid w:val="00C5717A"/>
    <w:rsid w:val="00C66C88"/>
    <w:rsid w:val="00C9580A"/>
    <w:rsid w:val="00CB499B"/>
    <w:rsid w:val="00CC11A3"/>
    <w:rsid w:val="00D021C6"/>
    <w:rsid w:val="00D3094E"/>
    <w:rsid w:val="00D73915"/>
    <w:rsid w:val="00D77D12"/>
    <w:rsid w:val="00D8062D"/>
    <w:rsid w:val="00D810DE"/>
    <w:rsid w:val="00E52BEE"/>
    <w:rsid w:val="00E65F40"/>
    <w:rsid w:val="00E76B5C"/>
    <w:rsid w:val="00EA5F82"/>
    <w:rsid w:val="00EC3326"/>
    <w:rsid w:val="00ED54E2"/>
    <w:rsid w:val="00EE67A2"/>
    <w:rsid w:val="00EF7724"/>
    <w:rsid w:val="00F15489"/>
    <w:rsid w:val="00F314AE"/>
    <w:rsid w:val="00F6166D"/>
    <w:rsid w:val="00F645BA"/>
    <w:rsid w:val="00FA79B5"/>
    <w:rsid w:val="00FB18BE"/>
    <w:rsid w:val="00FE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11FE"/>
  <w15:chartTrackingRefBased/>
  <w15:docId w15:val="{C7BEAF8F-55EF-4810-ABBF-44554711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0C"/>
    <w:pPr>
      <w:spacing w:before="120" w:after="120" w:line="36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8D4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D480C"/>
    <w:pPr>
      <w:keepNext/>
      <w:keepLines/>
      <w:spacing w:before="0" w:after="0"/>
      <w:outlineLvl w:val="1"/>
    </w:pPr>
    <w:rPr>
      <w:rFonts w:ascii="Cambria" w:eastAsiaTheme="majorEastAsia" w:hAnsi="Cambria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48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4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D480C"/>
    <w:rPr>
      <w:rFonts w:ascii="Cambria" w:eastAsiaTheme="majorEastAsia" w:hAnsi="Cambria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48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qFormat/>
    <w:rsid w:val="008D480C"/>
    <w:pPr>
      <w:tabs>
        <w:tab w:val="center" w:pos="4252"/>
        <w:tab w:val="right" w:pos="8504"/>
      </w:tabs>
      <w:spacing w:before="0" w:after="0" w:line="240" w:lineRule="auto"/>
      <w:jc w:val="left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8D480C"/>
  </w:style>
  <w:style w:type="paragraph" w:styleId="Rodap">
    <w:name w:val="footer"/>
    <w:basedOn w:val="Normal"/>
    <w:link w:val="RodapChar"/>
    <w:uiPriority w:val="99"/>
    <w:unhideWhenUsed/>
    <w:rsid w:val="008D480C"/>
    <w:pPr>
      <w:tabs>
        <w:tab w:val="center" w:pos="4252"/>
        <w:tab w:val="right" w:pos="8504"/>
      </w:tabs>
      <w:spacing w:before="0" w:after="0" w:line="240" w:lineRule="auto"/>
      <w:jc w:val="left"/>
    </w:pPr>
  </w:style>
  <w:style w:type="character" w:customStyle="1" w:styleId="RodapChar">
    <w:name w:val="Rodapé Char"/>
    <w:basedOn w:val="Fontepargpadro"/>
    <w:link w:val="Rodap"/>
    <w:uiPriority w:val="99"/>
    <w:rsid w:val="008D480C"/>
  </w:style>
  <w:style w:type="table" w:styleId="Tabelacomgrade">
    <w:name w:val="Table Grid"/>
    <w:basedOn w:val="Tabelanormal"/>
    <w:uiPriority w:val="59"/>
    <w:qFormat/>
    <w:rsid w:val="008D480C"/>
    <w:pPr>
      <w:spacing w:before="120"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TÍTULO A1,Paragrafo,Lista Colorida - Ênfase 11,Item2,Segundo,Texto,DOCs_Paragrafo-1"/>
    <w:basedOn w:val="Normal"/>
    <w:link w:val="PargrafodaListaChar"/>
    <w:uiPriority w:val="34"/>
    <w:qFormat/>
    <w:rsid w:val="008D480C"/>
    <w:pPr>
      <w:ind w:left="720"/>
      <w:contextualSpacing/>
    </w:pPr>
  </w:style>
  <w:style w:type="character" w:customStyle="1" w:styleId="PargrafodaListaChar">
    <w:name w:val="Parágrafo da Lista Char"/>
    <w:aliases w:val="TÍTULO A1 Char,Paragrafo Char,Lista Colorida - Ênfase 11 Char,Item2 Char,Segundo Char,Texto Char,DOCs_Paragrafo-1 Char"/>
    <w:link w:val="PargrafodaLista"/>
    <w:uiPriority w:val="34"/>
    <w:qFormat/>
    <w:locked/>
    <w:rsid w:val="008D480C"/>
  </w:style>
  <w:style w:type="character" w:styleId="Refdecomentrio">
    <w:name w:val="annotation reference"/>
    <w:basedOn w:val="Fontepargpadro"/>
    <w:uiPriority w:val="99"/>
    <w:semiHidden/>
    <w:unhideWhenUsed/>
    <w:rsid w:val="008D48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48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48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48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480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D480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D480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D480C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480C"/>
    <w:rPr>
      <w:color w:val="605E5C"/>
      <w:shd w:val="clear" w:color="auto" w:fill="E1DFDD"/>
    </w:rPr>
  </w:style>
  <w:style w:type="paragraph" w:styleId="SemEspaamento">
    <w:name w:val="No Spacing"/>
    <w:link w:val="SemEspaamentoChar"/>
    <w:uiPriority w:val="1"/>
    <w:qFormat/>
    <w:rsid w:val="008D480C"/>
    <w:pPr>
      <w:spacing w:after="0" w:line="240" w:lineRule="auto"/>
    </w:pPr>
    <w:rPr>
      <w:rFonts w:eastAsiaTheme="minorEastAsia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480C"/>
    <w:rPr>
      <w:rFonts w:eastAsiaTheme="minorEastAsia"/>
      <w:kern w:val="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480C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48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480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D48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Nivel01">
    <w:name w:val="Nivel 01"/>
    <w:basedOn w:val="Ttulo1"/>
    <w:next w:val="Normal"/>
    <w:qFormat/>
    <w:rsid w:val="00BD7C63"/>
    <w:pPr>
      <w:numPr>
        <w:numId w:val="24"/>
      </w:numPr>
      <w:tabs>
        <w:tab w:val="num" w:pos="360"/>
      </w:tabs>
      <w:spacing w:line="256" w:lineRule="auto"/>
      <w:ind w:left="0" w:firstLine="0"/>
      <w:jc w:val="left"/>
    </w:pPr>
    <w:rPr>
      <w:rFonts w:ascii="Arial" w:eastAsia="Times New Roman" w:hAnsi="Arial" w:cs="Arial"/>
      <w:b/>
      <w:bCs/>
      <w:color w:val="auto"/>
      <w:kern w:val="0"/>
      <w:sz w:val="20"/>
      <w:szCs w:val="20"/>
      <w:lang w:eastAsia="pt-BR"/>
      <w14:ligatures w14:val="none"/>
    </w:rPr>
  </w:style>
  <w:style w:type="paragraph" w:customStyle="1" w:styleId="Nivel2">
    <w:name w:val="Nivel 2"/>
    <w:basedOn w:val="Normal"/>
    <w:link w:val="Nivel2Char"/>
    <w:qFormat/>
    <w:rsid w:val="00BD7C63"/>
    <w:pPr>
      <w:numPr>
        <w:ilvl w:val="1"/>
        <w:numId w:val="24"/>
      </w:numPr>
      <w:spacing w:line="276" w:lineRule="auto"/>
    </w:pPr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3">
    <w:name w:val="Nivel 3"/>
    <w:basedOn w:val="Normal"/>
    <w:link w:val="Nivel3Char"/>
    <w:qFormat/>
    <w:rsid w:val="00BD7C63"/>
    <w:pPr>
      <w:numPr>
        <w:ilvl w:val="2"/>
        <w:numId w:val="24"/>
      </w:numPr>
      <w:spacing w:line="276" w:lineRule="auto"/>
    </w:pPr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ivel3"/>
    <w:qFormat/>
    <w:rsid w:val="00BD7C63"/>
    <w:pPr>
      <w:numPr>
        <w:ilvl w:val="3"/>
      </w:numPr>
      <w:tabs>
        <w:tab w:val="num" w:pos="360"/>
      </w:tabs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BD7C63"/>
    <w:pPr>
      <w:numPr>
        <w:ilvl w:val="4"/>
      </w:numPr>
      <w:tabs>
        <w:tab w:val="num" w:pos="360"/>
      </w:tabs>
      <w:ind w:left="1276" w:firstLine="0"/>
    </w:pPr>
  </w:style>
  <w:style w:type="character" w:customStyle="1" w:styleId="Nivel3Char">
    <w:name w:val="Nivel 3 Char"/>
    <w:basedOn w:val="Fontepargpadro"/>
    <w:link w:val="Nivel3"/>
    <w:locked/>
    <w:rsid w:val="00BD7C63"/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4A01BB"/>
    <w:rPr>
      <w:rFonts w:ascii="Arial" w:eastAsia="Times New Roman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Standard">
    <w:name w:val="Standard"/>
    <w:qFormat/>
    <w:rsid w:val="003E6998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  <w14:ligatures w14:val="none"/>
    </w:rPr>
  </w:style>
  <w:style w:type="character" w:customStyle="1" w:styleId="PadroChar">
    <w:name w:val="Padrão Char"/>
    <w:basedOn w:val="Fontepargpadro"/>
    <w:link w:val="Padro"/>
    <w:locked/>
    <w:rsid w:val="0092495A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Padro">
    <w:name w:val="Padrão"/>
    <w:link w:val="PadroChar"/>
    <w:qFormat/>
    <w:rsid w:val="0092495A"/>
    <w:pPr>
      <w:suppressAutoHyphens/>
      <w:spacing w:before="120" w:after="20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Corpodetextorecuado">
    <w:name w:val="Corpo de texto recuado"/>
    <w:basedOn w:val="Padro"/>
    <w:rsid w:val="0092495A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br/agu/pt-br/composicao/cgu/cgu/guias/gncs_082022.pdf" TargetMode="External"/><Relationship Id="rId1" Type="http://schemas.openxmlformats.org/officeDocument/2006/relationships/hyperlink" Target="https://www.gov.br/agu/pt-br/composicao/cgu/cgu/guiasustentabilida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8F49-40AE-4F3F-8CFD-453F1BE8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6178</Words>
  <Characters>33362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Matoso Rosa Junior</dc:creator>
  <cp:keywords/>
  <dc:description/>
  <cp:lastModifiedBy>Walter Matoso Rosa Junior</cp:lastModifiedBy>
  <cp:revision>10</cp:revision>
  <cp:lastPrinted>2024-06-03T12:31:00Z</cp:lastPrinted>
  <dcterms:created xsi:type="dcterms:W3CDTF">2024-04-29T19:35:00Z</dcterms:created>
  <dcterms:modified xsi:type="dcterms:W3CDTF">2024-06-03T12:31:00Z</dcterms:modified>
</cp:coreProperties>
</file>